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CE108" w14:textId="0916D2AE" w:rsidR="00AD02B2" w:rsidRPr="000B0935" w:rsidRDefault="00AD02B2" w:rsidP="007667D0">
      <w:pPr>
        <w:jc w:val="center"/>
        <w:rPr>
          <w:b/>
          <w:sz w:val="20"/>
          <w:szCs w:val="20"/>
        </w:rPr>
      </w:pPr>
      <w:r w:rsidRPr="000B0935">
        <w:rPr>
          <w:b/>
          <w:sz w:val="20"/>
          <w:szCs w:val="20"/>
        </w:rPr>
        <w:t xml:space="preserve">TABELA </w:t>
      </w:r>
      <w:r w:rsidR="002A13D3">
        <w:rPr>
          <w:b/>
          <w:sz w:val="20"/>
          <w:szCs w:val="20"/>
        </w:rPr>
        <w:t>ZGODNOŚCI</w:t>
      </w:r>
    </w:p>
    <w:p w14:paraId="0911B37F" w14:textId="77777777" w:rsidR="00AD02B2" w:rsidRPr="000B0935" w:rsidRDefault="00AD02B2" w:rsidP="007667D0">
      <w:pPr>
        <w:jc w:val="center"/>
        <w:rPr>
          <w:sz w:val="20"/>
          <w:szCs w:val="20"/>
        </w:rPr>
      </w:pP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0"/>
        <w:gridCol w:w="9610"/>
      </w:tblGrid>
      <w:tr w:rsidR="000B0935" w:rsidRPr="000B0935" w14:paraId="5207581C" w14:textId="77777777" w:rsidTr="0002700B">
        <w:trPr>
          <w:trHeight w:val="532"/>
        </w:trPr>
        <w:tc>
          <w:tcPr>
            <w:tcW w:w="1609" w:type="pct"/>
            <w:shd w:val="clear" w:color="auto" w:fill="auto"/>
          </w:tcPr>
          <w:p w14:paraId="071FBC79" w14:textId="77777777" w:rsidR="00AD02B2" w:rsidRPr="000B0935" w:rsidRDefault="00AD02B2" w:rsidP="007667D0">
            <w:pPr>
              <w:jc w:val="center"/>
              <w:rPr>
                <w:b/>
                <w:sz w:val="20"/>
                <w:szCs w:val="20"/>
              </w:rPr>
            </w:pPr>
            <w:r w:rsidRPr="000B0935">
              <w:rPr>
                <w:b/>
                <w:sz w:val="20"/>
                <w:szCs w:val="20"/>
              </w:rPr>
              <w:t>TYTUŁ PROJEKTU:</w:t>
            </w:r>
          </w:p>
        </w:tc>
        <w:tc>
          <w:tcPr>
            <w:tcW w:w="3391" w:type="pct"/>
            <w:shd w:val="clear" w:color="auto" w:fill="auto"/>
          </w:tcPr>
          <w:p w14:paraId="678E1D4F" w14:textId="22AB308B" w:rsidR="00AD02B2" w:rsidRPr="000B0935" w:rsidRDefault="00AD02B2" w:rsidP="002A13D3">
            <w:pPr>
              <w:rPr>
                <w:sz w:val="20"/>
                <w:szCs w:val="20"/>
              </w:rPr>
            </w:pPr>
            <w:r w:rsidRPr="000B0935">
              <w:rPr>
                <w:sz w:val="20"/>
                <w:szCs w:val="20"/>
              </w:rPr>
              <w:t xml:space="preserve">Projekt ustawy o zmianie ustawy </w:t>
            </w:r>
            <w:r w:rsidR="008E5ACC" w:rsidRPr="000B0935">
              <w:rPr>
                <w:sz w:val="20"/>
                <w:szCs w:val="20"/>
              </w:rPr>
              <w:t xml:space="preserve">o </w:t>
            </w:r>
            <w:r w:rsidR="004E2158">
              <w:rPr>
                <w:sz w:val="20"/>
                <w:szCs w:val="20"/>
              </w:rPr>
              <w:t>cudzoziemcach</w:t>
            </w:r>
            <w:r w:rsidR="008E5ACC" w:rsidRPr="000B0935">
              <w:rPr>
                <w:sz w:val="20"/>
                <w:szCs w:val="20"/>
              </w:rPr>
              <w:t xml:space="preserve"> oraz niektórych innych ustaw</w:t>
            </w:r>
            <w:r w:rsidR="004E2158">
              <w:rPr>
                <w:sz w:val="20"/>
                <w:szCs w:val="20"/>
              </w:rPr>
              <w:t xml:space="preserve"> (UC87)</w:t>
            </w:r>
          </w:p>
        </w:tc>
      </w:tr>
      <w:tr w:rsidR="000B0935" w:rsidRPr="000B0935" w14:paraId="76FAECDB" w14:textId="77777777" w:rsidTr="0002700B">
        <w:trPr>
          <w:trHeight w:val="512"/>
        </w:trPr>
        <w:tc>
          <w:tcPr>
            <w:tcW w:w="1609" w:type="pct"/>
            <w:shd w:val="clear" w:color="auto" w:fill="auto"/>
          </w:tcPr>
          <w:p w14:paraId="7ECC0009" w14:textId="77777777" w:rsidR="00AD02B2" w:rsidRPr="000B0935" w:rsidRDefault="00AD02B2" w:rsidP="007667D0">
            <w:pPr>
              <w:jc w:val="center"/>
              <w:rPr>
                <w:b/>
                <w:sz w:val="20"/>
                <w:szCs w:val="20"/>
              </w:rPr>
            </w:pPr>
            <w:r w:rsidRPr="000B0935">
              <w:rPr>
                <w:b/>
                <w:sz w:val="20"/>
                <w:szCs w:val="20"/>
              </w:rPr>
              <w:t>TYTUŁ WDRAŻANEGO AKTU PRAWNEGO/ WDRAŻANYCH AKTÓW PRAWNYCH:</w:t>
            </w:r>
          </w:p>
        </w:tc>
        <w:tc>
          <w:tcPr>
            <w:tcW w:w="3391" w:type="pct"/>
            <w:shd w:val="clear" w:color="auto" w:fill="auto"/>
          </w:tcPr>
          <w:p w14:paraId="3BA2FE1A" w14:textId="4BC5ED23" w:rsidR="00AD02B2" w:rsidRPr="000B0935" w:rsidRDefault="00D856C3" w:rsidP="002A13D3">
            <w:pPr>
              <w:pStyle w:val="Default"/>
              <w:rPr>
                <w:rFonts w:ascii="Times New Roman" w:hAnsi="Times New Roman" w:cs="Times New Roman"/>
                <w:color w:val="auto"/>
                <w:sz w:val="20"/>
                <w:szCs w:val="20"/>
              </w:rPr>
            </w:pPr>
            <w:r w:rsidRPr="000B0935">
              <w:rPr>
                <w:rFonts w:ascii="Times New Roman" w:hAnsi="Times New Roman" w:cs="Times New Roman"/>
                <w:color w:val="auto"/>
                <w:sz w:val="20"/>
                <w:szCs w:val="20"/>
              </w:rPr>
              <w:t>Umowa o wystąpieniu Zjednoczonego Królestwa Wielkiej Brytanii i Irlandii Północnej z Unii Europejskiej i Europejskiej Wspólnoty Energii Atomowej</w:t>
            </w:r>
            <w:r w:rsidR="002A13D3">
              <w:rPr>
                <w:rFonts w:ascii="Times New Roman" w:hAnsi="Times New Roman" w:cs="Times New Roman"/>
                <w:color w:val="auto"/>
                <w:sz w:val="20"/>
                <w:szCs w:val="20"/>
              </w:rPr>
              <w:t xml:space="preserve"> (wyciąg)</w:t>
            </w:r>
          </w:p>
        </w:tc>
      </w:tr>
      <w:tr w:rsidR="000B0935" w:rsidRPr="000B0935" w14:paraId="049EBFD7" w14:textId="77777777" w:rsidTr="0002700B">
        <w:tc>
          <w:tcPr>
            <w:tcW w:w="5000" w:type="pct"/>
            <w:gridSpan w:val="2"/>
            <w:shd w:val="clear" w:color="auto" w:fill="auto"/>
          </w:tcPr>
          <w:p w14:paraId="135D7D5B" w14:textId="77777777" w:rsidR="00AD02B2" w:rsidRPr="000B0935" w:rsidRDefault="00AD02B2" w:rsidP="007667D0">
            <w:pPr>
              <w:jc w:val="center"/>
              <w:rPr>
                <w:sz w:val="20"/>
                <w:szCs w:val="20"/>
              </w:rPr>
            </w:pPr>
          </w:p>
        </w:tc>
      </w:tr>
      <w:tr w:rsidR="00AD02B2" w:rsidRPr="000B0935" w14:paraId="4A064216" w14:textId="77777777" w:rsidTr="0002700B">
        <w:tc>
          <w:tcPr>
            <w:tcW w:w="5000" w:type="pct"/>
            <w:gridSpan w:val="2"/>
            <w:tcBorders>
              <w:bottom w:val="single" w:sz="4" w:space="0" w:color="auto"/>
            </w:tcBorders>
            <w:shd w:val="clear" w:color="auto" w:fill="auto"/>
            <w:vAlign w:val="center"/>
          </w:tcPr>
          <w:p w14:paraId="59323BEC" w14:textId="77777777" w:rsidR="00AD02B2" w:rsidRPr="000B0935" w:rsidRDefault="00AD02B2" w:rsidP="007667D0">
            <w:pPr>
              <w:jc w:val="center"/>
              <w:rPr>
                <w:b/>
                <w:sz w:val="20"/>
                <w:szCs w:val="20"/>
              </w:rPr>
            </w:pPr>
            <w:r w:rsidRPr="000B0935">
              <w:rPr>
                <w:b/>
                <w:sz w:val="20"/>
                <w:szCs w:val="20"/>
              </w:rPr>
              <w:t>PRZEPISY UNII EUROPEJSKIEJ</w:t>
            </w:r>
          </w:p>
          <w:p w14:paraId="7731BC00" w14:textId="77777777" w:rsidR="00AD02B2" w:rsidRPr="000B0935" w:rsidRDefault="00AD02B2" w:rsidP="007667D0">
            <w:pPr>
              <w:jc w:val="center"/>
              <w:rPr>
                <w:b/>
                <w:sz w:val="20"/>
                <w:szCs w:val="20"/>
              </w:rPr>
            </w:pPr>
          </w:p>
        </w:tc>
      </w:tr>
    </w:tbl>
    <w:p w14:paraId="6D222A05" w14:textId="77777777" w:rsidR="00AD02B2" w:rsidRPr="000B0935" w:rsidRDefault="00AD02B2" w:rsidP="007667D0">
      <w:pPr>
        <w:jc w:val="center"/>
        <w:rPr>
          <w:sz w:val="20"/>
          <w:szCs w:val="20"/>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990"/>
        <w:gridCol w:w="3398"/>
        <w:gridCol w:w="993"/>
        <w:gridCol w:w="1426"/>
        <w:gridCol w:w="3401"/>
        <w:gridCol w:w="3280"/>
      </w:tblGrid>
      <w:tr w:rsidR="000B0935" w:rsidRPr="000B0935" w14:paraId="125BB748" w14:textId="77777777" w:rsidTr="005E6C13">
        <w:trPr>
          <w:trHeight w:val="570"/>
        </w:trPr>
        <w:tc>
          <w:tcPr>
            <w:tcW w:w="682" w:type="dxa"/>
            <w:shd w:val="clear" w:color="auto" w:fill="auto"/>
          </w:tcPr>
          <w:p w14:paraId="52B2EE76" w14:textId="77777777" w:rsidR="00AD02B2" w:rsidRPr="000B0935" w:rsidRDefault="00AD02B2" w:rsidP="007667D0">
            <w:pPr>
              <w:jc w:val="center"/>
              <w:rPr>
                <w:b/>
                <w:sz w:val="20"/>
                <w:szCs w:val="20"/>
              </w:rPr>
            </w:pPr>
            <w:r w:rsidRPr="000B0935">
              <w:rPr>
                <w:b/>
                <w:sz w:val="20"/>
                <w:szCs w:val="20"/>
              </w:rPr>
              <w:t>L.p.</w:t>
            </w:r>
          </w:p>
        </w:tc>
        <w:tc>
          <w:tcPr>
            <w:tcW w:w="990" w:type="dxa"/>
            <w:shd w:val="clear" w:color="auto" w:fill="auto"/>
            <w:vAlign w:val="center"/>
          </w:tcPr>
          <w:p w14:paraId="35730D65" w14:textId="77777777" w:rsidR="00AD02B2" w:rsidRPr="000B0935" w:rsidRDefault="00AD02B2" w:rsidP="007667D0">
            <w:pPr>
              <w:jc w:val="center"/>
              <w:rPr>
                <w:b/>
                <w:sz w:val="20"/>
                <w:szCs w:val="20"/>
              </w:rPr>
            </w:pPr>
            <w:r w:rsidRPr="000B0935">
              <w:rPr>
                <w:b/>
                <w:sz w:val="20"/>
                <w:szCs w:val="20"/>
              </w:rPr>
              <w:t>Jedn.</w:t>
            </w:r>
          </w:p>
          <w:p w14:paraId="19D59E15" w14:textId="77777777" w:rsidR="00AD02B2" w:rsidRPr="000B0935" w:rsidRDefault="00AD02B2" w:rsidP="007667D0">
            <w:pPr>
              <w:jc w:val="center"/>
              <w:rPr>
                <w:b/>
                <w:sz w:val="20"/>
                <w:szCs w:val="20"/>
              </w:rPr>
            </w:pPr>
            <w:r w:rsidRPr="000B0935">
              <w:rPr>
                <w:b/>
                <w:sz w:val="20"/>
                <w:szCs w:val="20"/>
              </w:rPr>
              <w:t>Red.</w:t>
            </w:r>
          </w:p>
        </w:tc>
        <w:tc>
          <w:tcPr>
            <w:tcW w:w="3398" w:type="dxa"/>
            <w:shd w:val="clear" w:color="auto" w:fill="auto"/>
            <w:vAlign w:val="center"/>
          </w:tcPr>
          <w:p w14:paraId="331E3C8F" w14:textId="77777777" w:rsidR="00AD02B2" w:rsidRPr="000B0935" w:rsidRDefault="00AD02B2" w:rsidP="007667D0">
            <w:pPr>
              <w:ind w:left="30"/>
              <w:jc w:val="center"/>
              <w:rPr>
                <w:b/>
                <w:sz w:val="20"/>
                <w:szCs w:val="20"/>
              </w:rPr>
            </w:pPr>
            <w:r w:rsidRPr="000B0935">
              <w:rPr>
                <w:b/>
                <w:sz w:val="20"/>
                <w:szCs w:val="20"/>
              </w:rPr>
              <w:t>Treść przepisu UE</w:t>
            </w:r>
          </w:p>
        </w:tc>
        <w:tc>
          <w:tcPr>
            <w:tcW w:w="993" w:type="dxa"/>
            <w:shd w:val="clear" w:color="auto" w:fill="auto"/>
            <w:vAlign w:val="center"/>
          </w:tcPr>
          <w:p w14:paraId="2A0604E1" w14:textId="77777777" w:rsidR="00AD02B2" w:rsidRPr="000B0935" w:rsidRDefault="00AD02B2" w:rsidP="007667D0">
            <w:pPr>
              <w:jc w:val="center"/>
              <w:rPr>
                <w:b/>
                <w:sz w:val="20"/>
                <w:szCs w:val="20"/>
              </w:rPr>
            </w:pPr>
            <w:r w:rsidRPr="000B0935">
              <w:rPr>
                <w:b/>
                <w:sz w:val="20"/>
                <w:szCs w:val="20"/>
              </w:rPr>
              <w:t>Konieczność wdrożenia</w:t>
            </w:r>
          </w:p>
          <w:p w14:paraId="43F5F7CA" w14:textId="77777777" w:rsidR="00AD02B2" w:rsidRPr="000B0935" w:rsidRDefault="00AD02B2" w:rsidP="007667D0">
            <w:pPr>
              <w:jc w:val="center"/>
              <w:rPr>
                <w:b/>
                <w:sz w:val="20"/>
                <w:szCs w:val="20"/>
              </w:rPr>
            </w:pPr>
          </w:p>
          <w:p w14:paraId="4E2FE83C" w14:textId="77777777" w:rsidR="00AD02B2" w:rsidRPr="000B0935" w:rsidRDefault="00AD02B2" w:rsidP="007667D0">
            <w:pPr>
              <w:jc w:val="center"/>
              <w:rPr>
                <w:b/>
                <w:sz w:val="20"/>
                <w:szCs w:val="20"/>
              </w:rPr>
            </w:pPr>
            <w:r w:rsidRPr="000B0935">
              <w:rPr>
                <w:b/>
                <w:sz w:val="20"/>
                <w:szCs w:val="20"/>
              </w:rPr>
              <w:t>T/N</w:t>
            </w:r>
          </w:p>
        </w:tc>
        <w:tc>
          <w:tcPr>
            <w:tcW w:w="1426" w:type="dxa"/>
            <w:shd w:val="clear" w:color="auto" w:fill="auto"/>
            <w:vAlign w:val="center"/>
          </w:tcPr>
          <w:p w14:paraId="1EED1633" w14:textId="77777777" w:rsidR="00AD02B2" w:rsidRPr="000B0935" w:rsidRDefault="00AD02B2" w:rsidP="007667D0">
            <w:pPr>
              <w:jc w:val="center"/>
              <w:rPr>
                <w:b/>
                <w:sz w:val="20"/>
                <w:szCs w:val="20"/>
              </w:rPr>
            </w:pPr>
            <w:r w:rsidRPr="000B0935">
              <w:rPr>
                <w:b/>
                <w:sz w:val="20"/>
                <w:szCs w:val="20"/>
              </w:rPr>
              <w:t>Jedn.</w:t>
            </w:r>
          </w:p>
          <w:p w14:paraId="0879522F" w14:textId="77777777" w:rsidR="00AD02B2" w:rsidRPr="000B0935" w:rsidRDefault="00AD02B2" w:rsidP="007667D0">
            <w:pPr>
              <w:jc w:val="center"/>
              <w:rPr>
                <w:b/>
                <w:sz w:val="20"/>
                <w:szCs w:val="20"/>
              </w:rPr>
            </w:pPr>
            <w:r w:rsidRPr="000B0935">
              <w:rPr>
                <w:b/>
                <w:sz w:val="20"/>
                <w:szCs w:val="20"/>
              </w:rPr>
              <w:t>Red.</w:t>
            </w:r>
          </w:p>
        </w:tc>
        <w:tc>
          <w:tcPr>
            <w:tcW w:w="3401" w:type="dxa"/>
            <w:shd w:val="clear" w:color="auto" w:fill="auto"/>
            <w:vAlign w:val="center"/>
          </w:tcPr>
          <w:p w14:paraId="31529CA2" w14:textId="77777777" w:rsidR="00AD02B2" w:rsidRPr="000B0935" w:rsidRDefault="00AD02B2" w:rsidP="007667D0">
            <w:pPr>
              <w:jc w:val="center"/>
              <w:rPr>
                <w:b/>
                <w:sz w:val="20"/>
                <w:szCs w:val="20"/>
              </w:rPr>
            </w:pPr>
            <w:r w:rsidRPr="000B0935">
              <w:rPr>
                <w:b/>
                <w:sz w:val="20"/>
                <w:szCs w:val="20"/>
              </w:rPr>
              <w:t>Treść przepisu/ów projektu</w:t>
            </w:r>
          </w:p>
        </w:tc>
        <w:tc>
          <w:tcPr>
            <w:tcW w:w="3280" w:type="dxa"/>
            <w:shd w:val="clear" w:color="auto" w:fill="auto"/>
            <w:vAlign w:val="center"/>
          </w:tcPr>
          <w:p w14:paraId="494FB83C" w14:textId="77777777" w:rsidR="00AD02B2" w:rsidRPr="000B0935" w:rsidRDefault="00AD02B2" w:rsidP="007667D0">
            <w:pPr>
              <w:jc w:val="center"/>
              <w:rPr>
                <w:b/>
                <w:sz w:val="20"/>
                <w:szCs w:val="20"/>
              </w:rPr>
            </w:pPr>
            <w:r w:rsidRPr="000B0935">
              <w:rPr>
                <w:b/>
                <w:sz w:val="20"/>
                <w:szCs w:val="20"/>
              </w:rPr>
              <w:t xml:space="preserve">Uzasadnienie uwzględnienia </w:t>
            </w:r>
            <w:r w:rsidRPr="000B0935">
              <w:rPr>
                <w:b/>
                <w:sz w:val="20"/>
                <w:szCs w:val="20"/>
              </w:rPr>
              <w:br/>
              <w:t>w projekcie przepisów wykraczających poza minimalne wymogi prawa UE</w:t>
            </w:r>
          </w:p>
        </w:tc>
      </w:tr>
      <w:tr w:rsidR="000B0935" w:rsidRPr="000B0935" w14:paraId="62E78085" w14:textId="77777777" w:rsidTr="005E6C13">
        <w:trPr>
          <w:trHeight w:val="570"/>
        </w:trPr>
        <w:tc>
          <w:tcPr>
            <w:tcW w:w="14170" w:type="dxa"/>
            <w:gridSpan w:val="7"/>
            <w:shd w:val="clear" w:color="auto" w:fill="auto"/>
          </w:tcPr>
          <w:p w14:paraId="7D0AB151" w14:textId="5E1C5C32" w:rsidR="002D5D2A" w:rsidRPr="000B0935" w:rsidRDefault="002D5D2A" w:rsidP="007667D0">
            <w:pPr>
              <w:jc w:val="center"/>
              <w:rPr>
                <w:b/>
                <w:sz w:val="20"/>
                <w:szCs w:val="20"/>
              </w:rPr>
            </w:pPr>
            <w:r w:rsidRPr="000B0935">
              <w:rPr>
                <w:b/>
                <w:sz w:val="20"/>
                <w:szCs w:val="20"/>
              </w:rPr>
              <w:t>CZĘŚĆ DRUGA</w:t>
            </w:r>
          </w:p>
          <w:p w14:paraId="29A61104" w14:textId="49FFFFF2" w:rsidR="002D5D2A" w:rsidRPr="000B0935" w:rsidRDefault="002D5D2A" w:rsidP="007667D0">
            <w:pPr>
              <w:jc w:val="center"/>
              <w:rPr>
                <w:b/>
                <w:sz w:val="20"/>
                <w:szCs w:val="20"/>
              </w:rPr>
            </w:pPr>
            <w:r w:rsidRPr="000B0935">
              <w:rPr>
                <w:b/>
                <w:sz w:val="20"/>
                <w:szCs w:val="20"/>
              </w:rPr>
              <w:t>PRAWA OBYWATELSKIE</w:t>
            </w:r>
          </w:p>
        </w:tc>
      </w:tr>
      <w:tr w:rsidR="000B0935" w:rsidRPr="000B0935" w14:paraId="0AEFF678" w14:textId="77777777" w:rsidTr="005E6C13">
        <w:trPr>
          <w:trHeight w:val="570"/>
        </w:trPr>
        <w:tc>
          <w:tcPr>
            <w:tcW w:w="14170" w:type="dxa"/>
            <w:gridSpan w:val="7"/>
            <w:shd w:val="clear" w:color="auto" w:fill="auto"/>
          </w:tcPr>
          <w:p w14:paraId="66FDC907" w14:textId="77777777" w:rsidR="008E17C2" w:rsidRPr="000B0935" w:rsidRDefault="008E17C2" w:rsidP="007667D0">
            <w:pPr>
              <w:jc w:val="center"/>
              <w:rPr>
                <w:b/>
                <w:sz w:val="20"/>
                <w:szCs w:val="20"/>
              </w:rPr>
            </w:pPr>
          </w:p>
          <w:p w14:paraId="1A27FBB4" w14:textId="0109D431" w:rsidR="00AD02B2" w:rsidRPr="000B0935" w:rsidRDefault="008E17C2" w:rsidP="007667D0">
            <w:pPr>
              <w:jc w:val="center"/>
              <w:rPr>
                <w:b/>
                <w:sz w:val="20"/>
                <w:szCs w:val="20"/>
              </w:rPr>
            </w:pPr>
            <w:r w:rsidRPr="000B0935">
              <w:rPr>
                <w:b/>
                <w:sz w:val="20"/>
                <w:szCs w:val="20"/>
              </w:rPr>
              <w:t>TYTUŁ I Postanowienia ogólne</w:t>
            </w:r>
          </w:p>
        </w:tc>
      </w:tr>
      <w:tr w:rsidR="000B0935" w:rsidRPr="000B0935" w14:paraId="236F2EEC" w14:textId="77777777" w:rsidTr="005E6C13">
        <w:trPr>
          <w:trHeight w:val="570"/>
        </w:trPr>
        <w:tc>
          <w:tcPr>
            <w:tcW w:w="14170" w:type="dxa"/>
            <w:gridSpan w:val="7"/>
            <w:shd w:val="clear" w:color="auto" w:fill="auto"/>
          </w:tcPr>
          <w:p w14:paraId="4DC1EB5D" w14:textId="0C94D8ED" w:rsidR="00AD02B2" w:rsidRPr="000B0935" w:rsidRDefault="008E17C2" w:rsidP="007667D0">
            <w:pPr>
              <w:jc w:val="center"/>
              <w:rPr>
                <w:b/>
                <w:sz w:val="20"/>
                <w:szCs w:val="20"/>
              </w:rPr>
            </w:pPr>
            <w:r w:rsidRPr="000B0935">
              <w:rPr>
                <w:b/>
                <w:sz w:val="20"/>
                <w:szCs w:val="20"/>
              </w:rPr>
              <w:t>Artykuł 9 Definicje</w:t>
            </w:r>
          </w:p>
        </w:tc>
      </w:tr>
      <w:tr w:rsidR="000B0935" w:rsidRPr="000B0935" w14:paraId="2D1CF003" w14:textId="77777777" w:rsidTr="005E6C13">
        <w:trPr>
          <w:trHeight w:val="570"/>
        </w:trPr>
        <w:tc>
          <w:tcPr>
            <w:tcW w:w="682" w:type="dxa"/>
            <w:shd w:val="clear" w:color="auto" w:fill="auto"/>
          </w:tcPr>
          <w:p w14:paraId="6460790A" w14:textId="77777777" w:rsidR="00D856C3" w:rsidRPr="000B0935" w:rsidRDefault="00D856C3" w:rsidP="007667D0">
            <w:pPr>
              <w:numPr>
                <w:ilvl w:val="0"/>
                <w:numId w:val="1"/>
              </w:numPr>
              <w:ind w:left="0" w:right="173" w:firstLine="0"/>
              <w:jc w:val="both"/>
              <w:rPr>
                <w:b/>
                <w:sz w:val="20"/>
                <w:szCs w:val="20"/>
              </w:rPr>
            </w:pPr>
          </w:p>
        </w:tc>
        <w:tc>
          <w:tcPr>
            <w:tcW w:w="990" w:type="dxa"/>
            <w:shd w:val="clear" w:color="auto" w:fill="auto"/>
          </w:tcPr>
          <w:p w14:paraId="641064B9" w14:textId="6EC17B14" w:rsidR="00D856C3" w:rsidRPr="000B0935" w:rsidRDefault="00D856C3" w:rsidP="007667D0">
            <w:pPr>
              <w:jc w:val="both"/>
              <w:rPr>
                <w:b/>
                <w:sz w:val="20"/>
                <w:szCs w:val="20"/>
              </w:rPr>
            </w:pPr>
            <w:r w:rsidRPr="000B0935">
              <w:rPr>
                <w:b/>
                <w:sz w:val="20"/>
                <w:szCs w:val="20"/>
              </w:rPr>
              <w:t>Art. 9</w:t>
            </w:r>
          </w:p>
        </w:tc>
        <w:tc>
          <w:tcPr>
            <w:tcW w:w="3398" w:type="dxa"/>
            <w:shd w:val="clear" w:color="auto" w:fill="auto"/>
          </w:tcPr>
          <w:p w14:paraId="63F50338" w14:textId="0B0DA1B5" w:rsidR="00D856C3" w:rsidRPr="000B0935" w:rsidRDefault="00D856C3" w:rsidP="007667D0">
            <w:pPr>
              <w:autoSpaceDE w:val="0"/>
              <w:autoSpaceDN w:val="0"/>
              <w:adjustRightInd w:val="0"/>
              <w:jc w:val="both"/>
              <w:rPr>
                <w:sz w:val="20"/>
                <w:szCs w:val="20"/>
              </w:rPr>
            </w:pPr>
            <w:r w:rsidRPr="000B0935">
              <w:rPr>
                <w:sz w:val="20"/>
                <w:szCs w:val="20"/>
              </w:rPr>
              <w:t>Na użytek niniejszej części i bez uszczerbku dla tytułu III stosuje się następujące definicje:</w:t>
            </w:r>
          </w:p>
        </w:tc>
        <w:tc>
          <w:tcPr>
            <w:tcW w:w="993" w:type="dxa"/>
            <w:shd w:val="clear" w:color="auto" w:fill="auto"/>
          </w:tcPr>
          <w:p w14:paraId="49895868" w14:textId="77777777" w:rsidR="00D856C3" w:rsidRPr="000B0935" w:rsidRDefault="00D856C3" w:rsidP="007667D0">
            <w:pPr>
              <w:jc w:val="both"/>
              <w:rPr>
                <w:b/>
                <w:sz w:val="20"/>
                <w:szCs w:val="20"/>
              </w:rPr>
            </w:pPr>
          </w:p>
        </w:tc>
        <w:tc>
          <w:tcPr>
            <w:tcW w:w="1426" w:type="dxa"/>
            <w:shd w:val="clear" w:color="auto" w:fill="auto"/>
          </w:tcPr>
          <w:p w14:paraId="35115830" w14:textId="77777777" w:rsidR="00D856C3" w:rsidRPr="000B0935" w:rsidRDefault="00D856C3" w:rsidP="007667D0">
            <w:pPr>
              <w:jc w:val="both"/>
              <w:rPr>
                <w:b/>
                <w:sz w:val="20"/>
                <w:szCs w:val="20"/>
              </w:rPr>
            </w:pPr>
          </w:p>
        </w:tc>
        <w:tc>
          <w:tcPr>
            <w:tcW w:w="3401" w:type="dxa"/>
            <w:shd w:val="clear" w:color="auto" w:fill="auto"/>
          </w:tcPr>
          <w:p w14:paraId="7570EB12" w14:textId="77777777" w:rsidR="00D856C3" w:rsidRPr="000B0935" w:rsidRDefault="00D856C3" w:rsidP="007667D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07F7163E" w14:textId="77777777" w:rsidR="00D856C3" w:rsidRPr="000B0935" w:rsidRDefault="00D856C3" w:rsidP="007667D0">
            <w:pPr>
              <w:jc w:val="both"/>
              <w:rPr>
                <w:sz w:val="20"/>
                <w:szCs w:val="20"/>
              </w:rPr>
            </w:pPr>
          </w:p>
        </w:tc>
      </w:tr>
      <w:tr w:rsidR="000B0935" w:rsidRPr="000B0935" w14:paraId="0F43198D" w14:textId="77777777" w:rsidTr="005E6C13">
        <w:trPr>
          <w:trHeight w:val="570"/>
        </w:trPr>
        <w:tc>
          <w:tcPr>
            <w:tcW w:w="682" w:type="dxa"/>
            <w:shd w:val="clear" w:color="auto" w:fill="auto"/>
          </w:tcPr>
          <w:p w14:paraId="7B67C8EE" w14:textId="77777777" w:rsidR="00AD02B2" w:rsidRPr="000B0935" w:rsidRDefault="00AD02B2" w:rsidP="007667D0">
            <w:pPr>
              <w:numPr>
                <w:ilvl w:val="0"/>
                <w:numId w:val="1"/>
              </w:numPr>
              <w:ind w:left="0" w:right="173" w:firstLine="0"/>
              <w:jc w:val="both"/>
              <w:rPr>
                <w:b/>
                <w:sz w:val="20"/>
                <w:szCs w:val="20"/>
              </w:rPr>
            </w:pPr>
          </w:p>
          <w:p w14:paraId="57945150" w14:textId="77777777" w:rsidR="00AD02B2" w:rsidRPr="000B0935" w:rsidRDefault="00AD02B2" w:rsidP="007667D0">
            <w:pPr>
              <w:tabs>
                <w:tab w:val="left" w:pos="200"/>
              </w:tabs>
              <w:ind w:right="173"/>
              <w:jc w:val="both"/>
              <w:rPr>
                <w:sz w:val="20"/>
                <w:szCs w:val="20"/>
              </w:rPr>
            </w:pPr>
          </w:p>
        </w:tc>
        <w:tc>
          <w:tcPr>
            <w:tcW w:w="990" w:type="dxa"/>
            <w:shd w:val="clear" w:color="auto" w:fill="auto"/>
          </w:tcPr>
          <w:p w14:paraId="58366430" w14:textId="511DA252" w:rsidR="00AD02B2" w:rsidRPr="000B0935" w:rsidRDefault="008E17C2" w:rsidP="007667D0">
            <w:pPr>
              <w:jc w:val="both"/>
              <w:rPr>
                <w:b/>
                <w:sz w:val="20"/>
                <w:szCs w:val="20"/>
              </w:rPr>
            </w:pPr>
            <w:r w:rsidRPr="000B0935">
              <w:rPr>
                <w:b/>
                <w:sz w:val="20"/>
                <w:szCs w:val="20"/>
              </w:rPr>
              <w:t>Art. 9 lit. a</w:t>
            </w:r>
          </w:p>
        </w:tc>
        <w:tc>
          <w:tcPr>
            <w:tcW w:w="3398" w:type="dxa"/>
            <w:shd w:val="clear" w:color="auto" w:fill="auto"/>
          </w:tcPr>
          <w:p w14:paraId="47BBFB0C" w14:textId="32CA3648" w:rsidR="008E5ACC" w:rsidRPr="000B0935" w:rsidRDefault="008E5ACC" w:rsidP="007667D0">
            <w:pPr>
              <w:autoSpaceDE w:val="0"/>
              <w:autoSpaceDN w:val="0"/>
              <w:adjustRightInd w:val="0"/>
              <w:jc w:val="both"/>
              <w:rPr>
                <w:sz w:val="20"/>
                <w:szCs w:val="20"/>
              </w:rPr>
            </w:pPr>
          </w:p>
          <w:p w14:paraId="5EB50F78" w14:textId="2AE72EAA" w:rsidR="008E17C2" w:rsidRPr="000B0935" w:rsidRDefault="008E17C2" w:rsidP="007667D0">
            <w:pPr>
              <w:autoSpaceDE w:val="0"/>
              <w:autoSpaceDN w:val="0"/>
              <w:adjustRightInd w:val="0"/>
              <w:jc w:val="both"/>
              <w:rPr>
                <w:sz w:val="20"/>
                <w:szCs w:val="20"/>
              </w:rPr>
            </w:pPr>
            <w:r w:rsidRPr="000B0935">
              <w:rPr>
                <w:sz w:val="20"/>
                <w:szCs w:val="20"/>
              </w:rPr>
              <w:t>a) Na użytek niniejszej części i bez uszczerbku dla tytułu III stosuje się następujące definicje:</w:t>
            </w:r>
          </w:p>
          <w:p w14:paraId="7E46249E" w14:textId="77777777" w:rsidR="00D856C3" w:rsidRPr="000B0935" w:rsidRDefault="008E17C2" w:rsidP="007667D0">
            <w:pPr>
              <w:autoSpaceDE w:val="0"/>
              <w:autoSpaceDN w:val="0"/>
              <w:adjustRightInd w:val="0"/>
              <w:jc w:val="both"/>
              <w:rPr>
                <w:sz w:val="20"/>
                <w:szCs w:val="20"/>
              </w:rPr>
            </w:pPr>
            <w:r w:rsidRPr="000B0935">
              <w:rPr>
                <w:sz w:val="20"/>
                <w:szCs w:val="20"/>
              </w:rPr>
              <w:t xml:space="preserve"> a) „członkowie rodziny” oznaczają następujące osoby, bez względu na obywatelstwo, objęte zakresem podmiotowym przewidzianym w art. 10 niniejszej Umowy: </w:t>
            </w:r>
          </w:p>
          <w:p w14:paraId="560C3E0A" w14:textId="77777777" w:rsidR="00D856C3" w:rsidRPr="000B0935" w:rsidRDefault="008E17C2" w:rsidP="007667D0">
            <w:pPr>
              <w:autoSpaceDE w:val="0"/>
              <w:autoSpaceDN w:val="0"/>
              <w:adjustRightInd w:val="0"/>
              <w:jc w:val="both"/>
              <w:rPr>
                <w:sz w:val="20"/>
                <w:szCs w:val="20"/>
              </w:rPr>
            </w:pPr>
            <w:r w:rsidRPr="000B0935">
              <w:rPr>
                <w:sz w:val="20"/>
                <w:szCs w:val="20"/>
              </w:rPr>
              <w:t xml:space="preserve">(i) członków rodziny obywateli Unii lub członków rodziny obywateli </w:t>
            </w:r>
            <w:r w:rsidRPr="000B0935">
              <w:rPr>
                <w:sz w:val="20"/>
                <w:szCs w:val="20"/>
              </w:rPr>
              <w:lastRenderedPageBreak/>
              <w:t xml:space="preserve">Zjednoczonego Królestwa w rozumieniu art. 2 pkt 2 dyrektywy Parlamentu Europejskiego i Rady 2004/38/WE (5); </w:t>
            </w:r>
          </w:p>
          <w:p w14:paraId="2DEA3D30" w14:textId="7FCC274A" w:rsidR="008E17C2" w:rsidRPr="000B0935" w:rsidRDefault="008E17C2" w:rsidP="007667D0">
            <w:pPr>
              <w:autoSpaceDE w:val="0"/>
              <w:autoSpaceDN w:val="0"/>
              <w:adjustRightInd w:val="0"/>
              <w:jc w:val="both"/>
              <w:rPr>
                <w:sz w:val="20"/>
                <w:szCs w:val="20"/>
              </w:rPr>
            </w:pPr>
            <w:r w:rsidRPr="000B0935">
              <w:rPr>
                <w:sz w:val="20"/>
                <w:szCs w:val="20"/>
              </w:rPr>
              <w:t xml:space="preserve">(ii) osoby, inne niż te zdefiniowane w art. 3 ust. 2 dyrektywy 2004/38/WE, których obecność jest konieczna dla obywateli Unii lub obywateli Zjednoczonego Królestwa do tego, by ci obywatele Unii lub obywatele Zjednoczonego Królestwa nie zostali pozbawieni prawa pobytu przyznanego im na podstawie niniejszej części; </w:t>
            </w:r>
          </w:p>
          <w:p w14:paraId="6EB12017" w14:textId="77777777" w:rsidR="008E17C2" w:rsidRPr="000B0935" w:rsidRDefault="008E17C2" w:rsidP="007667D0">
            <w:pPr>
              <w:autoSpaceDE w:val="0"/>
              <w:autoSpaceDN w:val="0"/>
              <w:adjustRightInd w:val="0"/>
              <w:jc w:val="both"/>
              <w:rPr>
                <w:sz w:val="20"/>
                <w:szCs w:val="20"/>
              </w:rPr>
            </w:pPr>
          </w:p>
          <w:p w14:paraId="119AE2C3" w14:textId="2BC9C697" w:rsidR="00AD02B2" w:rsidRPr="000B0935" w:rsidRDefault="00AD02B2" w:rsidP="007667D0">
            <w:pPr>
              <w:autoSpaceDE w:val="0"/>
              <w:autoSpaceDN w:val="0"/>
              <w:adjustRightInd w:val="0"/>
              <w:jc w:val="both"/>
              <w:rPr>
                <w:sz w:val="20"/>
                <w:szCs w:val="20"/>
              </w:rPr>
            </w:pPr>
          </w:p>
        </w:tc>
        <w:tc>
          <w:tcPr>
            <w:tcW w:w="993" w:type="dxa"/>
            <w:shd w:val="clear" w:color="auto" w:fill="auto"/>
          </w:tcPr>
          <w:p w14:paraId="7DFA1FCA" w14:textId="77777777" w:rsidR="00AD02B2" w:rsidRPr="000B0935" w:rsidRDefault="008E5ACC" w:rsidP="007667D0">
            <w:pPr>
              <w:jc w:val="both"/>
              <w:rPr>
                <w:b/>
                <w:sz w:val="20"/>
                <w:szCs w:val="20"/>
              </w:rPr>
            </w:pPr>
            <w:r w:rsidRPr="000B0935">
              <w:rPr>
                <w:b/>
                <w:sz w:val="20"/>
                <w:szCs w:val="20"/>
              </w:rPr>
              <w:lastRenderedPageBreak/>
              <w:t>T</w:t>
            </w:r>
          </w:p>
        </w:tc>
        <w:tc>
          <w:tcPr>
            <w:tcW w:w="1426" w:type="dxa"/>
            <w:shd w:val="clear" w:color="auto" w:fill="auto"/>
          </w:tcPr>
          <w:p w14:paraId="7A91C09D" w14:textId="5A32BE9B" w:rsidR="00F54DC3" w:rsidRPr="000B0935" w:rsidRDefault="00F54DC3" w:rsidP="007667D0">
            <w:pPr>
              <w:jc w:val="both"/>
              <w:rPr>
                <w:b/>
                <w:sz w:val="20"/>
                <w:szCs w:val="20"/>
              </w:rPr>
            </w:pPr>
          </w:p>
        </w:tc>
        <w:tc>
          <w:tcPr>
            <w:tcW w:w="3401" w:type="dxa"/>
            <w:shd w:val="clear" w:color="auto" w:fill="auto"/>
          </w:tcPr>
          <w:p w14:paraId="21F93539" w14:textId="72EBC6B3" w:rsidR="00D856C3" w:rsidRPr="000B0935" w:rsidRDefault="00D856C3" w:rsidP="007667D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2052458E" w14:textId="77777777" w:rsidR="000A59FF" w:rsidRPr="000B0935" w:rsidRDefault="000A59FF" w:rsidP="007667D0">
            <w:pPr>
              <w:jc w:val="both"/>
              <w:rPr>
                <w:sz w:val="20"/>
                <w:szCs w:val="20"/>
              </w:rPr>
            </w:pPr>
          </w:p>
        </w:tc>
      </w:tr>
      <w:tr w:rsidR="000B0935" w:rsidRPr="000B0935" w14:paraId="31077A53" w14:textId="77777777" w:rsidTr="005E6C13">
        <w:trPr>
          <w:trHeight w:val="570"/>
        </w:trPr>
        <w:tc>
          <w:tcPr>
            <w:tcW w:w="682" w:type="dxa"/>
            <w:shd w:val="clear" w:color="auto" w:fill="auto"/>
          </w:tcPr>
          <w:p w14:paraId="2D766613" w14:textId="77777777" w:rsidR="008E17C2" w:rsidRPr="000B0935" w:rsidRDefault="008E17C2" w:rsidP="007667D0">
            <w:pPr>
              <w:numPr>
                <w:ilvl w:val="0"/>
                <w:numId w:val="1"/>
              </w:numPr>
              <w:ind w:left="0" w:right="173" w:firstLine="0"/>
              <w:jc w:val="both"/>
              <w:rPr>
                <w:b/>
                <w:sz w:val="20"/>
                <w:szCs w:val="20"/>
              </w:rPr>
            </w:pPr>
          </w:p>
        </w:tc>
        <w:tc>
          <w:tcPr>
            <w:tcW w:w="990" w:type="dxa"/>
            <w:shd w:val="clear" w:color="auto" w:fill="auto"/>
          </w:tcPr>
          <w:p w14:paraId="3236B8A6" w14:textId="286EE40E" w:rsidR="008E17C2" w:rsidRPr="000B0935" w:rsidRDefault="008E17C2" w:rsidP="007667D0">
            <w:pPr>
              <w:jc w:val="both"/>
              <w:rPr>
                <w:b/>
                <w:sz w:val="20"/>
                <w:szCs w:val="20"/>
              </w:rPr>
            </w:pPr>
            <w:r w:rsidRPr="000B0935">
              <w:rPr>
                <w:b/>
                <w:sz w:val="20"/>
                <w:szCs w:val="20"/>
              </w:rPr>
              <w:t>Art. 9 lit. b</w:t>
            </w:r>
          </w:p>
        </w:tc>
        <w:tc>
          <w:tcPr>
            <w:tcW w:w="3398" w:type="dxa"/>
            <w:shd w:val="clear" w:color="auto" w:fill="auto"/>
          </w:tcPr>
          <w:p w14:paraId="785698A9" w14:textId="76D4524A" w:rsidR="008E17C2" w:rsidRPr="000B0935" w:rsidRDefault="008E17C2" w:rsidP="007667D0">
            <w:pPr>
              <w:autoSpaceDE w:val="0"/>
              <w:autoSpaceDN w:val="0"/>
              <w:adjustRightInd w:val="0"/>
              <w:jc w:val="both"/>
              <w:rPr>
                <w:sz w:val="20"/>
                <w:szCs w:val="20"/>
              </w:rPr>
            </w:pPr>
            <w:r w:rsidRPr="000B0935">
              <w:rPr>
                <w:sz w:val="20"/>
                <w:szCs w:val="20"/>
              </w:rPr>
              <w:t>b) „pracownicy przygraniczni” oznaczają obywateli Unii lub obywateli Zjednoczonego Królestwa, którzy prowadzą działalność zarobkową zgodnie z art. 45 lub 49 TFUE w jednym lub większej liczbie państw, w których nie zamieszkują;</w:t>
            </w:r>
          </w:p>
        </w:tc>
        <w:tc>
          <w:tcPr>
            <w:tcW w:w="993" w:type="dxa"/>
            <w:shd w:val="clear" w:color="auto" w:fill="auto"/>
          </w:tcPr>
          <w:p w14:paraId="2D2B7BDD" w14:textId="11479252" w:rsidR="008E17C2" w:rsidRPr="000B0935" w:rsidRDefault="00717F36" w:rsidP="007667D0">
            <w:pPr>
              <w:jc w:val="both"/>
              <w:rPr>
                <w:b/>
                <w:sz w:val="20"/>
                <w:szCs w:val="20"/>
              </w:rPr>
            </w:pPr>
            <w:r w:rsidRPr="000B0935">
              <w:rPr>
                <w:b/>
                <w:sz w:val="20"/>
                <w:szCs w:val="20"/>
              </w:rPr>
              <w:t>N</w:t>
            </w:r>
          </w:p>
        </w:tc>
        <w:tc>
          <w:tcPr>
            <w:tcW w:w="1426" w:type="dxa"/>
            <w:shd w:val="clear" w:color="auto" w:fill="auto"/>
          </w:tcPr>
          <w:p w14:paraId="783B997C" w14:textId="77777777" w:rsidR="008E17C2" w:rsidRPr="000B0935" w:rsidRDefault="008E17C2" w:rsidP="007667D0">
            <w:pPr>
              <w:jc w:val="both"/>
              <w:rPr>
                <w:sz w:val="20"/>
                <w:szCs w:val="20"/>
              </w:rPr>
            </w:pPr>
          </w:p>
        </w:tc>
        <w:tc>
          <w:tcPr>
            <w:tcW w:w="3401" w:type="dxa"/>
            <w:shd w:val="clear" w:color="auto" w:fill="auto"/>
          </w:tcPr>
          <w:p w14:paraId="217C1FD6" w14:textId="0C1F87CA" w:rsidR="003039C0" w:rsidRPr="000B0935" w:rsidRDefault="003039C0" w:rsidP="007667D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1DE1CE6" w14:textId="183F582A" w:rsidR="008E17C2" w:rsidRPr="000B0935" w:rsidRDefault="008E17C2" w:rsidP="007667D0">
            <w:pPr>
              <w:jc w:val="both"/>
              <w:rPr>
                <w:sz w:val="20"/>
                <w:szCs w:val="20"/>
              </w:rPr>
            </w:pPr>
          </w:p>
        </w:tc>
      </w:tr>
      <w:tr w:rsidR="000B0935" w:rsidRPr="000B0935" w14:paraId="06C15C6A" w14:textId="77777777" w:rsidTr="005E6C13">
        <w:trPr>
          <w:trHeight w:val="570"/>
        </w:trPr>
        <w:tc>
          <w:tcPr>
            <w:tcW w:w="14170" w:type="dxa"/>
            <w:gridSpan w:val="7"/>
            <w:shd w:val="clear" w:color="auto" w:fill="auto"/>
          </w:tcPr>
          <w:p w14:paraId="2AD349C2" w14:textId="67C72AA1" w:rsidR="00AD02B2" w:rsidRPr="000B0935" w:rsidRDefault="00AD02B2" w:rsidP="000B0935">
            <w:pPr>
              <w:jc w:val="center"/>
              <w:rPr>
                <w:b/>
                <w:sz w:val="20"/>
                <w:szCs w:val="20"/>
              </w:rPr>
            </w:pPr>
          </w:p>
        </w:tc>
      </w:tr>
      <w:tr w:rsidR="000B0935" w:rsidRPr="000B0935" w14:paraId="0C39EEC6" w14:textId="77777777" w:rsidTr="005E6C13">
        <w:trPr>
          <w:trHeight w:val="570"/>
        </w:trPr>
        <w:tc>
          <w:tcPr>
            <w:tcW w:w="682" w:type="dxa"/>
            <w:shd w:val="clear" w:color="auto" w:fill="auto"/>
          </w:tcPr>
          <w:p w14:paraId="4303062E" w14:textId="77777777" w:rsidR="00AD02B2" w:rsidRPr="000B0935" w:rsidRDefault="00AD02B2" w:rsidP="007667D0">
            <w:pPr>
              <w:numPr>
                <w:ilvl w:val="0"/>
                <w:numId w:val="1"/>
              </w:numPr>
              <w:ind w:left="0" w:right="173" w:firstLine="0"/>
              <w:jc w:val="both"/>
              <w:rPr>
                <w:b/>
                <w:sz w:val="20"/>
                <w:szCs w:val="20"/>
              </w:rPr>
            </w:pPr>
          </w:p>
        </w:tc>
        <w:tc>
          <w:tcPr>
            <w:tcW w:w="990" w:type="dxa"/>
            <w:shd w:val="clear" w:color="auto" w:fill="auto"/>
          </w:tcPr>
          <w:p w14:paraId="6610EAF9" w14:textId="2AF20E16" w:rsidR="00AD02B2" w:rsidRPr="000B0935" w:rsidRDefault="00BA5285" w:rsidP="007667D0">
            <w:pPr>
              <w:jc w:val="both"/>
              <w:rPr>
                <w:b/>
                <w:sz w:val="20"/>
                <w:szCs w:val="20"/>
              </w:rPr>
            </w:pPr>
            <w:r w:rsidRPr="000B0935">
              <w:rPr>
                <w:b/>
                <w:sz w:val="20"/>
                <w:szCs w:val="20"/>
              </w:rPr>
              <w:t xml:space="preserve">Art. 10 ust. 1 </w:t>
            </w:r>
          </w:p>
        </w:tc>
        <w:tc>
          <w:tcPr>
            <w:tcW w:w="3398" w:type="dxa"/>
            <w:shd w:val="clear" w:color="auto" w:fill="auto"/>
          </w:tcPr>
          <w:p w14:paraId="6A1B0E4A" w14:textId="77777777" w:rsidR="009D3526" w:rsidRPr="000B0935" w:rsidRDefault="00BA5285" w:rsidP="007667D0">
            <w:pPr>
              <w:jc w:val="both"/>
              <w:rPr>
                <w:rFonts w:eastAsia="Calibri"/>
                <w:sz w:val="20"/>
                <w:szCs w:val="20"/>
                <w:lang w:eastAsia="en-US"/>
              </w:rPr>
            </w:pPr>
            <w:r w:rsidRPr="000B0935">
              <w:rPr>
                <w:rFonts w:eastAsia="Calibri"/>
                <w:sz w:val="20"/>
                <w:szCs w:val="20"/>
                <w:lang w:eastAsia="en-US"/>
              </w:rPr>
              <w:t>1.Bez uszczerbku dla tytułu III niniejsza część ma zastosowanie do następujących osób:</w:t>
            </w:r>
          </w:p>
          <w:p w14:paraId="3979364A" w14:textId="77777777" w:rsidR="009D3526" w:rsidRPr="000B0935" w:rsidRDefault="00BA5285" w:rsidP="007667D0">
            <w:pPr>
              <w:jc w:val="both"/>
              <w:rPr>
                <w:rFonts w:eastAsia="Calibri"/>
                <w:sz w:val="20"/>
                <w:szCs w:val="20"/>
                <w:lang w:eastAsia="en-US"/>
              </w:rPr>
            </w:pPr>
            <w:r w:rsidRPr="000B0935">
              <w:rPr>
                <w:rFonts w:eastAsia="Calibri"/>
                <w:sz w:val="20"/>
                <w:szCs w:val="20"/>
                <w:lang w:eastAsia="en-US"/>
              </w:rPr>
              <w:t xml:space="preserve"> a) obywateli Unii, którzy korzystali z prawa pobytu w Zjednoczonym Królestwie zgodnie z prawem Unii przed zakończeniem okresu przejściowego i potem w dalszym ciągu w nim zamieszkują; </w:t>
            </w:r>
          </w:p>
          <w:p w14:paraId="6705B78B" w14:textId="0EE31A6B" w:rsidR="009D3526" w:rsidRPr="000B0935" w:rsidRDefault="00BA5285" w:rsidP="007667D0">
            <w:pPr>
              <w:jc w:val="both"/>
              <w:rPr>
                <w:rFonts w:eastAsia="Calibri"/>
                <w:sz w:val="20"/>
                <w:szCs w:val="20"/>
                <w:lang w:eastAsia="en-US"/>
              </w:rPr>
            </w:pPr>
            <w:r w:rsidRPr="000B0935">
              <w:rPr>
                <w:rFonts w:eastAsia="Calibri"/>
                <w:sz w:val="20"/>
                <w:szCs w:val="20"/>
                <w:lang w:eastAsia="en-US"/>
              </w:rPr>
              <w:t xml:space="preserve">b) obywateli Zjednoczonego Królestwa, którzy korzystali z prawa pobytu w państwie członkowskim zgodnie z prawem Unii przed zakończeniem </w:t>
            </w:r>
            <w:r w:rsidRPr="000B0935">
              <w:rPr>
                <w:rFonts w:eastAsia="Calibri"/>
                <w:sz w:val="20"/>
                <w:szCs w:val="20"/>
                <w:lang w:eastAsia="en-US"/>
              </w:rPr>
              <w:lastRenderedPageBreak/>
              <w:t xml:space="preserve">okresu przejściowego i potem w dalszym ciągu w nim zamieszkują; </w:t>
            </w:r>
          </w:p>
          <w:p w14:paraId="6DFCDFD1" w14:textId="77777777" w:rsidR="002D5D2A" w:rsidRPr="000B0935" w:rsidRDefault="00BA5285" w:rsidP="007667D0">
            <w:pPr>
              <w:jc w:val="both"/>
              <w:rPr>
                <w:rFonts w:eastAsia="Calibri"/>
                <w:sz w:val="20"/>
                <w:szCs w:val="20"/>
                <w:lang w:eastAsia="en-US"/>
              </w:rPr>
            </w:pPr>
            <w:r w:rsidRPr="000B0935">
              <w:rPr>
                <w:rFonts w:eastAsia="Calibri"/>
                <w:sz w:val="20"/>
                <w:szCs w:val="20"/>
                <w:lang w:eastAsia="en-US"/>
              </w:rPr>
              <w:t xml:space="preserve">c) obywateli Unii, którzy korzystali z uprawnień pracowników przygranicznych w Zjednoczonym Królestwie zgodnie z prawem Unii przed zakończeniem okresu przejściowego i potem w dalszym ciągu z nich korzystają; </w:t>
            </w:r>
          </w:p>
          <w:p w14:paraId="35584E68" w14:textId="77777777" w:rsidR="002D5D2A" w:rsidRPr="000B0935" w:rsidRDefault="00BA5285" w:rsidP="007667D0">
            <w:pPr>
              <w:jc w:val="both"/>
              <w:rPr>
                <w:rFonts w:eastAsia="Calibri"/>
                <w:sz w:val="20"/>
                <w:szCs w:val="20"/>
                <w:lang w:eastAsia="en-US"/>
              </w:rPr>
            </w:pPr>
            <w:r w:rsidRPr="000B0935">
              <w:rPr>
                <w:rFonts w:eastAsia="Calibri"/>
                <w:sz w:val="20"/>
                <w:szCs w:val="20"/>
                <w:lang w:eastAsia="en-US"/>
              </w:rPr>
              <w:t xml:space="preserve">d) obywateli Zjednoczonego Królestwa, którzy korzystali z uprawnień pracowników przygranicznych w co najmniej jednym państwie członkowskim zgodnie z prawem Unii przed zakończeniem okresu przejściowego i potem w dalszym ciągu z nich korzystają; </w:t>
            </w:r>
          </w:p>
          <w:p w14:paraId="3213519D" w14:textId="3BB1F6DD" w:rsidR="00AD02B2" w:rsidRPr="000B0935" w:rsidRDefault="00BA5285" w:rsidP="007667D0">
            <w:pPr>
              <w:jc w:val="both"/>
              <w:rPr>
                <w:rFonts w:eastAsia="Calibri"/>
                <w:sz w:val="20"/>
                <w:szCs w:val="20"/>
                <w:lang w:eastAsia="en-US"/>
              </w:rPr>
            </w:pPr>
            <w:r w:rsidRPr="000B0935">
              <w:rPr>
                <w:rFonts w:eastAsia="Calibri"/>
                <w:sz w:val="20"/>
                <w:szCs w:val="20"/>
                <w:lang w:eastAsia="en-US"/>
              </w:rPr>
              <w:t xml:space="preserve">e) członków rodzin osób, o których mowa w lit. a)–d), jeżeli spełniają jeden z następujących warunków: (i) zamieszkiwali w państwie przyjmującym zgodnie z prawem Unii przed zakończeniem okresu przejściowego i potem w dalszym ciągu w nim zamieszkują; (ii) byli bezpośrednio spokrewnieni z osobą, o której mowa w lit. a)–d), i zamieszkiwali poza państwem przyjmującym przed zakończeniem okresu przejściowego, jeżeli spełniają warunki określone w art. 2 pkt 2 dyrektywy 2004/38/WE w chwili ubiegania się o pobyt na podstawie niniejszej części w celu dołączenia do osoby, o której mowa w lit. a)–d) niniejszego ustępu; (iii)są dziećmi osób lub przysposobionymi przez osoby, o których mowa w lit. a)–d), urodzonymi lub przysposobionymi po zakończeniu </w:t>
            </w:r>
            <w:r w:rsidRPr="000B0935">
              <w:rPr>
                <w:rFonts w:eastAsia="Calibri"/>
                <w:sz w:val="20"/>
                <w:szCs w:val="20"/>
                <w:lang w:eastAsia="en-US"/>
              </w:rPr>
              <w:lastRenderedPageBreak/>
              <w:t>okresu przejściowego, w państwie przyjmującym lub poza jego terytorium, oraz spełniają warunki określone w art. 2 pkt 2 lit. c) dyrektywy 2004/38/WE w chwili ubiegania się o pobyt na podstawie niniejszej części w celu dołączenia do osoby, o której mowa w lit. a)–d) niniejszego ustępu, oraz spełniają jeden z następujących warunków: — oboje rodzice są osobami, o których mowa w lit. a)–d); — jedno z rodziców jest osobą, o której mowa w lit. a)–d), a drugie jest obywatelem państwa przyjmującego; lub — jedno z rodziców jest osobą, o której mowa w lit. a)–d), i sprawuje wyłączną lub wspólną pieczę nad dzieckiem, zgodnie z mającymi zastosowanie przepisami prawa rodzinnego państwa członkowskiego lub Zjednoczonego Królestwa, w tym z mającymi zastosowanie przepisami prawa prywatnego międzynarodowego, zgodnie z którym piecza nad dzieckiem ustanowiona na mocy prawa państwa trzeciego jest uznawana w państwie członkowskim lub w Zjednoczonym Królestwie, w szczególności uwzględniając dobro dziecka i bez uszczerbku dla normalnego funkcjonowania takich mających zastosowanie przepisów prawa prywatnego międzynarodowego (7); f) członków rodziny, którzy zamieszkiwali w państwie przyjmującym zgodnie z art. 12 i 13, art. 16 ust. 2 oraz art. 17 i 18 dyrektywy 2004/38/WE przed</w:t>
            </w:r>
            <w:r w:rsidR="00DE5487" w:rsidRPr="000B0935">
              <w:rPr>
                <w:rFonts w:eastAsia="Calibri"/>
                <w:sz w:val="20"/>
                <w:szCs w:val="20"/>
                <w:lang w:eastAsia="en-US"/>
              </w:rPr>
              <w:t>,</w:t>
            </w:r>
            <w:r w:rsidRPr="000B0935">
              <w:rPr>
                <w:rFonts w:eastAsia="Calibri"/>
                <w:sz w:val="20"/>
                <w:szCs w:val="20"/>
                <w:lang w:eastAsia="en-US"/>
              </w:rPr>
              <w:t xml:space="preserve"> zakończeniem </w:t>
            </w:r>
            <w:r w:rsidRPr="000B0935">
              <w:rPr>
                <w:rFonts w:eastAsia="Calibri"/>
                <w:sz w:val="20"/>
                <w:szCs w:val="20"/>
                <w:lang w:eastAsia="en-US"/>
              </w:rPr>
              <w:lastRenderedPageBreak/>
              <w:t xml:space="preserve">okresu przejściowego i potem w dalszym ciągu w nim zamieszkują. </w:t>
            </w:r>
          </w:p>
        </w:tc>
        <w:tc>
          <w:tcPr>
            <w:tcW w:w="993" w:type="dxa"/>
            <w:shd w:val="clear" w:color="auto" w:fill="auto"/>
          </w:tcPr>
          <w:p w14:paraId="2A2EB0E1" w14:textId="77777777" w:rsidR="00AD02B2" w:rsidRPr="000B0935" w:rsidRDefault="003B5A7E" w:rsidP="007667D0">
            <w:pPr>
              <w:jc w:val="both"/>
              <w:rPr>
                <w:b/>
                <w:sz w:val="20"/>
                <w:szCs w:val="20"/>
              </w:rPr>
            </w:pPr>
            <w:r w:rsidRPr="000B0935">
              <w:rPr>
                <w:b/>
                <w:sz w:val="20"/>
                <w:szCs w:val="20"/>
              </w:rPr>
              <w:lastRenderedPageBreak/>
              <w:t>T</w:t>
            </w:r>
          </w:p>
        </w:tc>
        <w:tc>
          <w:tcPr>
            <w:tcW w:w="1426" w:type="dxa"/>
            <w:shd w:val="clear" w:color="auto" w:fill="auto"/>
          </w:tcPr>
          <w:p w14:paraId="5C446E18" w14:textId="545322A8" w:rsidR="00AD02B2" w:rsidRPr="000B0935" w:rsidRDefault="00AD02B2" w:rsidP="007667D0">
            <w:pPr>
              <w:jc w:val="both"/>
              <w:rPr>
                <w:sz w:val="20"/>
                <w:szCs w:val="20"/>
              </w:rPr>
            </w:pPr>
          </w:p>
        </w:tc>
        <w:tc>
          <w:tcPr>
            <w:tcW w:w="3401" w:type="dxa"/>
            <w:shd w:val="clear" w:color="auto" w:fill="auto"/>
          </w:tcPr>
          <w:p w14:paraId="48407E10" w14:textId="5EBB5906" w:rsidR="00AD02B2" w:rsidRPr="000B0935" w:rsidRDefault="00AD02B2" w:rsidP="007667D0">
            <w:pPr>
              <w:pStyle w:val="Akapitzlist"/>
              <w:autoSpaceDE w:val="0"/>
              <w:autoSpaceDN w:val="0"/>
              <w:adjustRightInd w:val="0"/>
              <w:spacing w:after="0" w:line="240" w:lineRule="auto"/>
              <w:ind w:left="24"/>
              <w:jc w:val="both"/>
              <w:rPr>
                <w:rFonts w:ascii="Times New Roman" w:hAnsi="Times New Roman"/>
                <w:sz w:val="20"/>
                <w:szCs w:val="20"/>
              </w:rPr>
            </w:pPr>
          </w:p>
        </w:tc>
        <w:tc>
          <w:tcPr>
            <w:tcW w:w="3280" w:type="dxa"/>
            <w:shd w:val="clear" w:color="auto" w:fill="auto"/>
          </w:tcPr>
          <w:p w14:paraId="6D310281" w14:textId="77777777" w:rsidR="00AD02B2" w:rsidRPr="000B0935" w:rsidRDefault="00AD02B2" w:rsidP="007667D0">
            <w:pPr>
              <w:jc w:val="both"/>
              <w:rPr>
                <w:sz w:val="20"/>
                <w:szCs w:val="20"/>
              </w:rPr>
            </w:pPr>
          </w:p>
        </w:tc>
      </w:tr>
      <w:tr w:rsidR="000B0935" w:rsidRPr="000B0935" w14:paraId="58645ADB" w14:textId="77777777" w:rsidTr="005E6C13">
        <w:trPr>
          <w:trHeight w:val="570"/>
        </w:trPr>
        <w:tc>
          <w:tcPr>
            <w:tcW w:w="682" w:type="dxa"/>
            <w:shd w:val="clear" w:color="auto" w:fill="auto"/>
          </w:tcPr>
          <w:p w14:paraId="2589E897" w14:textId="71B7F0F2" w:rsidR="003B5A7E" w:rsidRPr="000B0935" w:rsidRDefault="007F5985" w:rsidP="007667D0">
            <w:pPr>
              <w:ind w:right="173"/>
              <w:jc w:val="both"/>
              <w:rPr>
                <w:b/>
                <w:sz w:val="20"/>
                <w:szCs w:val="20"/>
              </w:rPr>
            </w:pPr>
            <w:r w:rsidRPr="000B0935">
              <w:rPr>
                <w:b/>
                <w:sz w:val="20"/>
                <w:szCs w:val="20"/>
              </w:rPr>
              <w:lastRenderedPageBreak/>
              <w:t>6.</w:t>
            </w:r>
          </w:p>
        </w:tc>
        <w:tc>
          <w:tcPr>
            <w:tcW w:w="990" w:type="dxa"/>
            <w:shd w:val="clear" w:color="auto" w:fill="auto"/>
          </w:tcPr>
          <w:p w14:paraId="36ACA759" w14:textId="21767D3A" w:rsidR="003B5A7E" w:rsidRPr="000B0935" w:rsidRDefault="00BA5285" w:rsidP="007667D0">
            <w:pPr>
              <w:jc w:val="both"/>
              <w:rPr>
                <w:b/>
                <w:sz w:val="20"/>
                <w:szCs w:val="20"/>
              </w:rPr>
            </w:pPr>
            <w:r w:rsidRPr="000B0935">
              <w:rPr>
                <w:b/>
                <w:sz w:val="20"/>
                <w:szCs w:val="20"/>
              </w:rPr>
              <w:t>Art. 10 ust. 2</w:t>
            </w:r>
          </w:p>
        </w:tc>
        <w:tc>
          <w:tcPr>
            <w:tcW w:w="3398" w:type="dxa"/>
            <w:shd w:val="clear" w:color="auto" w:fill="auto"/>
          </w:tcPr>
          <w:p w14:paraId="189CC78B" w14:textId="427BFF68" w:rsidR="003B5A7E" w:rsidRPr="000B0935" w:rsidRDefault="00BA5285" w:rsidP="007667D0">
            <w:pPr>
              <w:jc w:val="both"/>
              <w:rPr>
                <w:rFonts w:eastAsia="Calibri"/>
                <w:sz w:val="20"/>
                <w:szCs w:val="20"/>
                <w:lang w:eastAsia="en-US"/>
              </w:rPr>
            </w:pPr>
            <w:r w:rsidRPr="000B0935">
              <w:rPr>
                <w:rFonts w:eastAsia="Calibri"/>
                <w:sz w:val="20"/>
                <w:szCs w:val="20"/>
                <w:lang w:eastAsia="en-US"/>
              </w:rPr>
              <w:t>2.Osoby objęte zakresem art. 3 ust. 2 lit. a) i b) dyrektywy 2004/38/WE, których pobyt ułatwiło państwo przyjmujące zgodnie ze swoim prawodawstwem krajowym przed zakończeniem okresu przejściowego zgodnie z art. 3 ust. 2 tej dyrektywy, zachowują prawo pobytu w państwie przyjmującym zgodnie z niniejszą częścią, jeżeli nadal zamieszkują w państwie przyjmującym po zakończeniu okresu przejściowego.</w:t>
            </w:r>
          </w:p>
        </w:tc>
        <w:tc>
          <w:tcPr>
            <w:tcW w:w="993" w:type="dxa"/>
            <w:shd w:val="clear" w:color="auto" w:fill="auto"/>
          </w:tcPr>
          <w:p w14:paraId="519FDA8A" w14:textId="77777777" w:rsidR="003B5A7E" w:rsidRPr="000B0935" w:rsidRDefault="003B5A7E" w:rsidP="007667D0">
            <w:pPr>
              <w:jc w:val="both"/>
              <w:rPr>
                <w:b/>
                <w:sz w:val="20"/>
                <w:szCs w:val="20"/>
              </w:rPr>
            </w:pPr>
            <w:r w:rsidRPr="000B0935">
              <w:rPr>
                <w:b/>
                <w:sz w:val="20"/>
                <w:szCs w:val="20"/>
              </w:rPr>
              <w:t>T</w:t>
            </w:r>
          </w:p>
        </w:tc>
        <w:tc>
          <w:tcPr>
            <w:tcW w:w="1426" w:type="dxa"/>
            <w:shd w:val="clear" w:color="auto" w:fill="auto"/>
          </w:tcPr>
          <w:p w14:paraId="7C8FBF10" w14:textId="0F5F06E7" w:rsidR="003B5A7E" w:rsidRPr="000B0935" w:rsidRDefault="003B5A7E" w:rsidP="007667D0">
            <w:pPr>
              <w:jc w:val="both"/>
              <w:rPr>
                <w:sz w:val="20"/>
                <w:szCs w:val="20"/>
              </w:rPr>
            </w:pPr>
          </w:p>
        </w:tc>
        <w:tc>
          <w:tcPr>
            <w:tcW w:w="3401" w:type="dxa"/>
            <w:shd w:val="clear" w:color="auto" w:fill="auto"/>
          </w:tcPr>
          <w:p w14:paraId="27758718" w14:textId="14655AF4" w:rsidR="00915B4C" w:rsidRPr="000B0935" w:rsidRDefault="00915B4C" w:rsidP="007667D0">
            <w:pPr>
              <w:pStyle w:val="Akapitzlist"/>
              <w:autoSpaceDE w:val="0"/>
              <w:autoSpaceDN w:val="0"/>
              <w:adjustRightInd w:val="0"/>
              <w:spacing w:after="0" w:line="240" w:lineRule="auto"/>
              <w:ind w:left="24"/>
              <w:jc w:val="both"/>
              <w:rPr>
                <w:rFonts w:ascii="Times New Roman" w:hAnsi="Times New Roman"/>
                <w:sz w:val="20"/>
                <w:szCs w:val="20"/>
              </w:rPr>
            </w:pPr>
          </w:p>
        </w:tc>
        <w:tc>
          <w:tcPr>
            <w:tcW w:w="3280" w:type="dxa"/>
            <w:shd w:val="clear" w:color="auto" w:fill="auto"/>
          </w:tcPr>
          <w:p w14:paraId="62CC72FE" w14:textId="77777777" w:rsidR="003B5A7E" w:rsidRPr="000B0935" w:rsidRDefault="003B5A7E" w:rsidP="007667D0">
            <w:pPr>
              <w:jc w:val="both"/>
              <w:rPr>
                <w:sz w:val="20"/>
                <w:szCs w:val="20"/>
              </w:rPr>
            </w:pPr>
          </w:p>
        </w:tc>
      </w:tr>
      <w:tr w:rsidR="000B0935" w:rsidRPr="000B0935" w14:paraId="372C6F17" w14:textId="77777777" w:rsidTr="005E6C13">
        <w:trPr>
          <w:trHeight w:val="570"/>
        </w:trPr>
        <w:tc>
          <w:tcPr>
            <w:tcW w:w="682" w:type="dxa"/>
            <w:shd w:val="clear" w:color="auto" w:fill="auto"/>
          </w:tcPr>
          <w:p w14:paraId="1CFE6292" w14:textId="33F01491" w:rsidR="003B5A7E" w:rsidRPr="000B0935" w:rsidRDefault="007F5985" w:rsidP="007667D0">
            <w:pPr>
              <w:ind w:right="173"/>
              <w:jc w:val="both"/>
              <w:rPr>
                <w:b/>
                <w:sz w:val="20"/>
                <w:szCs w:val="20"/>
              </w:rPr>
            </w:pPr>
            <w:r w:rsidRPr="000B0935">
              <w:rPr>
                <w:b/>
                <w:sz w:val="20"/>
                <w:szCs w:val="20"/>
              </w:rPr>
              <w:t>7.</w:t>
            </w:r>
          </w:p>
        </w:tc>
        <w:tc>
          <w:tcPr>
            <w:tcW w:w="990" w:type="dxa"/>
            <w:shd w:val="clear" w:color="auto" w:fill="auto"/>
          </w:tcPr>
          <w:p w14:paraId="66183ACD" w14:textId="28452DCF" w:rsidR="003B5A7E" w:rsidRPr="000B0935" w:rsidRDefault="00BA5285" w:rsidP="007667D0">
            <w:pPr>
              <w:jc w:val="both"/>
              <w:rPr>
                <w:b/>
                <w:sz w:val="20"/>
                <w:szCs w:val="20"/>
              </w:rPr>
            </w:pPr>
            <w:r w:rsidRPr="000B0935">
              <w:rPr>
                <w:b/>
                <w:sz w:val="20"/>
                <w:szCs w:val="20"/>
              </w:rPr>
              <w:t>Art. 10 ust. 3</w:t>
            </w:r>
          </w:p>
        </w:tc>
        <w:tc>
          <w:tcPr>
            <w:tcW w:w="3398" w:type="dxa"/>
            <w:shd w:val="clear" w:color="auto" w:fill="auto"/>
          </w:tcPr>
          <w:p w14:paraId="7DD9EC77" w14:textId="1BA9176E" w:rsidR="003B5A7E" w:rsidRPr="000B0935" w:rsidRDefault="007F5985" w:rsidP="007667D0">
            <w:pPr>
              <w:jc w:val="both"/>
              <w:rPr>
                <w:rFonts w:eastAsia="Calibri"/>
                <w:sz w:val="20"/>
                <w:szCs w:val="20"/>
                <w:lang w:eastAsia="en-US"/>
              </w:rPr>
            </w:pPr>
            <w:r w:rsidRPr="000B0935">
              <w:rPr>
                <w:rFonts w:eastAsia="Calibri"/>
                <w:sz w:val="20"/>
                <w:szCs w:val="20"/>
                <w:lang w:eastAsia="en-US"/>
              </w:rPr>
              <w:t>3.Ust. 2 stosuje się również do osób objętych zakresem art. 3 ust. 2 lit. a) i b) dyrektywy 2004/38/WE, które wystąpiły o ułatwienie wjazdu i pobytu przed zakończeniem okresu przejściowego i których pobyt ułatwia państwo przyjmujące zgodnie ze swoim prawodawstwem krajowym po zakończeniu okresu przejściowego.</w:t>
            </w:r>
          </w:p>
        </w:tc>
        <w:tc>
          <w:tcPr>
            <w:tcW w:w="993" w:type="dxa"/>
            <w:shd w:val="clear" w:color="auto" w:fill="auto"/>
          </w:tcPr>
          <w:p w14:paraId="2C5181A0" w14:textId="7E69F6D8" w:rsidR="003B5A7E" w:rsidRPr="000B0935" w:rsidRDefault="00D5394F" w:rsidP="007667D0">
            <w:pPr>
              <w:jc w:val="both"/>
              <w:rPr>
                <w:b/>
                <w:sz w:val="20"/>
                <w:szCs w:val="20"/>
              </w:rPr>
            </w:pPr>
            <w:r w:rsidRPr="000B0935">
              <w:rPr>
                <w:b/>
                <w:sz w:val="20"/>
                <w:szCs w:val="20"/>
              </w:rPr>
              <w:t>T</w:t>
            </w:r>
          </w:p>
        </w:tc>
        <w:tc>
          <w:tcPr>
            <w:tcW w:w="1426" w:type="dxa"/>
            <w:shd w:val="clear" w:color="auto" w:fill="auto"/>
          </w:tcPr>
          <w:p w14:paraId="4DE69C49" w14:textId="371697F0" w:rsidR="003B5A7E" w:rsidRPr="000B0935" w:rsidRDefault="003B5A7E" w:rsidP="007667D0">
            <w:pPr>
              <w:jc w:val="both"/>
              <w:rPr>
                <w:sz w:val="20"/>
                <w:szCs w:val="20"/>
              </w:rPr>
            </w:pPr>
          </w:p>
        </w:tc>
        <w:tc>
          <w:tcPr>
            <w:tcW w:w="3401" w:type="dxa"/>
            <w:shd w:val="clear" w:color="auto" w:fill="auto"/>
          </w:tcPr>
          <w:p w14:paraId="5BD5A2C6" w14:textId="4B98919A" w:rsidR="003B5A7E" w:rsidRPr="000B0935" w:rsidRDefault="003B5A7E" w:rsidP="007667D0">
            <w:pPr>
              <w:pStyle w:val="Akapitzlist"/>
              <w:autoSpaceDE w:val="0"/>
              <w:autoSpaceDN w:val="0"/>
              <w:adjustRightInd w:val="0"/>
              <w:spacing w:after="0" w:line="240" w:lineRule="auto"/>
              <w:ind w:left="24"/>
              <w:jc w:val="both"/>
              <w:rPr>
                <w:rFonts w:ascii="Times New Roman" w:hAnsi="Times New Roman"/>
                <w:sz w:val="20"/>
                <w:szCs w:val="20"/>
              </w:rPr>
            </w:pPr>
          </w:p>
        </w:tc>
        <w:tc>
          <w:tcPr>
            <w:tcW w:w="3280" w:type="dxa"/>
            <w:shd w:val="clear" w:color="auto" w:fill="auto"/>
          </w:tcPr>
          <w:p w14:paraId="5C39F9AE" w14:textId="77777777" w:rsidR="00EC158A" w:rsidRPr="000B0935" w:rsidRDefault="00EC158A" w:rsidP="007667D0">
            <w:pPr>
              <w:jc w:val="both"/>
              <w:rPr>
                <w:sz w:val="20"/>
                <w:szCs w:val="20"/>
              </w:rPr>
            </w:pPr>
          </w:p>
        </w:tc>
      </w:tr>
      <w:tr w:rsidR="000B0935" w:rsidRPr="000B0935" w14:paraId="4C58976C" w14:textId="77777777" w:rsidTr="005E6C13">
        <w:trPr>
          <w:trHeight w:val="570"/>
        </w:trPr>
        <w:tc>
          <w:tcPr>
            <w:tcW w:w="682" w:type="dxa"/>
            <w:shd w:val="clear" w:color="auto" w:fill="auto"/>
          </w:tcPr>
          <w:p w14:paraId="3EAE87E4" w14:textId="44D9E2F5" w:rsidR="003B5A7E" w:rsidRPr="000B0935" w:rsidRDefault="007F5985" w:rsidP="007667D0">
            <w:pPr>
              <w:ind w:right="173"/>
              <w:jc w:val="both"/>
              <w:rPr>
                <w:b/>
                <w:sz w:val="20"/>
                <w:szCs w:val="20"/>
              </w:rPr>
            </w:pPr>
            <w:r w:rsidRPr="000B0935">
              <w:rPr>
                <w:b/>
                <w:sz w:val="20"/>
                <w:szCs w:val="20"/>
              </w:rPr>
              <w:t>8.</w:t>
            </w:r>
          </w:p>
        </w:tc>
        <w:tc>
          <w:tcPr>
            <w:tcW w:w="990" w:type="dxa"/>
            <w:shd w:val="clear" w:color="auto" w:fill="auto"/>
          </w:tcPr>
          <w:p w14:paraId="48A01B0E" w14:textId="4EB3E4EB" w:rsidR="003B5A7E" w:rsidRPr="000B0935" w:rsidRDefault="007F5985" w:rsidP="007667D0">
            <w:pPr>
              <w:jc w:val="both"/>
              <w:rPr>
                <w:b/>
                <w:sz w:val="20"/>
                <w:szCs w:val="20"/>
              </w:rPr>
            </w:pPr>
            <w:r w:rsidRPr="000B0935">
              <w:rPr>
                <w:b/>
                <w:sz w:val="20"/>
                <w:szCs w:val="20"/>
              </w:rPr>
              <w:t>Art. 10 ust. 4</w:t>
            </w:r>
          </w:p>
        </w:tc>
        <w:tc>
          <w:tcPr>
            <w:tcW w:w="3398" w:type="dxa"/>
            <w:shd w:val="clear" w:color="auto" w:fill="auto"/>
          </w:tcPr>
          <w:p w14:paraId="413AD123" w14:textId="585938F3" w:rsidR="003B5A7E" w:rsidRPr="000B0935" w:rsidRDefault="007F5985" w:rsidP="007667D0">
            <w:pPr>
              <w:jc w:val="both"/>
              <w:rPr>
                <w:rFonts w:eastAsia="Calibri"/>
                <w:sz w:val="20"/>
                <w:szCs w:val="20"/>
                <w:lang w:eastAsia="en-US"/>
              </w:rPr>
            </w:pPr>
            <w:r w:rsidRPr="000B0935">
              <w:rPr>
                <w:rFonts w:eastAsia="Calibri"/>
                <w:sz w:val="20"/>
                <w:szCs w:val="20"/>
                <w:lang w:eastAsia="en-US"/>
              </w:rPr>
              <w:t xml:space="preserve">4.Bez uszczerbku dla prawa pobytu, jakie zainteresowane osoby mogą same posiadać, państwo przyjmujące zgodnie ze swoim prawodawstwem krajowym i zgodnie z art. 3 ust. 2 lit. b) dyrektywy 2004/38/WE ułatwia wjazd i pobyt partnera, z którym osoba, o której mowa w ust. 1 lit. a)–d) niniejszego artykułu, pozostaje w stałym, należycie poświadczonym związku, w przypadku gdy partner ten zamieszkiwał poza państwem przyjmującym przed zakończeniem okresu przejściowego, pod warunkiem że związek ten miał stały charakter przed zakończeniem okresu przejściowego i nadal istnieje w </w:t>
            </w:r>
            <w:r w:rsidRPr="000B0935">
              <w:rPr>
                <w:rFonts w:eastAsia="Calibri"/>
                <w:sz w:val="20"/>
                <w:szCs w:val="20"/>
                <w:lang w:eastAsia="en-US"/>
              </w:rPr>
              <w:lastRenderedPageBreak/>
              <w:t>chwili ubiegania się o pobyt przez partnera na podstawie niniejszej części.</w:t>
            </w:r>
          </w:p>
        </w:tc>
        <w:tc>
          <w:tcPr>
            <w:tcW w:w="993" w:type="dxa"/>
            <w:shd w:val="clear" w:color="auto" w:fill="auto"/>
          </w:tcPr>
          <w:p w14:paraId="0875F885" w14:textId="6C4706A6" w:rsidR="003B5A7E" w:rsidRPr="000B0935" w:rsidRDefault="00D5394F" w:rsidP="007667D0">
            <w:pPr>
              <w:jc w:val="both"/>
              <w:rPr>
                <w:b/>
                <w:sz w:val="20"/>
                <w:szCs w:val="20"/>
              </w:rPr>
            </w:pPr>
            <w:r w:rsidRPr="000B0935">
              <w:rPr>
                <w:b/>
                <w:sz w:val="20"/>
                <w:szCs w:val="20"/>
              </w:rPr>
              <w:lastRenderedPageBreak/>
              <w:t>T</w:t>
            </w:r>
          </w:p>
        </w:tc>
        <w:tc>
          <w:tcPr>
            <w:tcW w:w="1426" w:type="dxa"/>
            <w:shd w:val="clear" w:color="auto" w:fill="auto"/>
          </w:tcPr>
          <w:p w14:paraId="30CBC0C3" w14:textId="515DC1D8" w:rsidR="003B5A7E" w:rsidRPr="000B0935" w:rsidRDefault="003B5A7E" w:rsidP="007667D0">
            <w:pPr>
              <w:jc w:val="both"/>
              <w:rPr>
                <w:sz w:val="20"/>
                <w:szCs w:val="20"/>
              </w:rPr>
            </w:pPr>
          </w:p>
        </w:tc>
        <w:tc>
          <w:tcPr>
            <w:tcW w:w="3401" w:type="dxa"/>
            <w:shd w:val="clear" w:color="auto" w:fill="auto"/>
          </w:tcPr>
          <w:p w14:paraId="13AEC665" w14:textId="78CFA79A" w:rsidR="003B5A7E" w:rsidRPr="000B0935" w:rsidRDefault="003B5A7E" w:rsidP="007667D0">
            <w:pPr>
              <w:pStyle w:val="Akapitzlist"/>
              <w:autoSpaceDE w:val="0"/>
              <w:autoSpaceDN w:val="0"/>
              <w:adjustRightInd w:val="0"/>
              <w:spacing w:after="0" w:line="240" w:lineRule="auto"/>
              <w:ind w:left="24"/>
              <w:jc w:val="both"/>
              <w:rPr>
                <w:rFonts w:ascii="Times New Roman" w:hAnsi="Times New Roman"/>
                <w:sz w:val="20"/>
                <w:szCs w:val="20"/>
              </w:rPr>
            </w:pPr>
          </w:p>
        </w:tc>
        <w:tc>
          <w:tcPr>
            <w:tcW w:w="3280" w:type="dxa"/>
            <w:shd w:val="clear" w:color="auto" w:fill="auto"/>
          </w:tcPr>
          <w:p w14:paraId="32FDC418" w14:textId="6927E8A6" w:rsidR="003B5A7E" w:rsidRPr="000B0935" w:rsidRDefault="003B5A7E" w:rsidP="007667D0">
            <w:pPr>
              <w:jc w:val="both"/>
              <w:rPr>
                <w:sz w:val="20"/>
                <w:szCs w:val="20"/>
              </w:rPr>
            </w:pPr>
          </w:p>
        </w:tc>
      </w:tr>
      <w:tr w:rsidR="000B0935" w:rsidRPr="000B0935" w14:paraId="03D01085" w14:textId="77777777" w:rsidTr="005E6C13">
        <w:trPr>
          <w:trHeight w:val="570"/>
        </w:trPr>
        <w:tc>
          <w:tcPr>
            <w:tcW w:w="682" w:type="dxa"/>
            <w:shd w:val="clear" w:color="auto" w:fill="auto"/>
          </w:tcPr>
          <w:p w14:paraId="726E5965" w14:textId="776BA84B" w:rsidR="007F5985" w:rsidRPr="000B0935" w:rsidRDefault="007F5985" w:rsidP="007667D0">
            <w:pPr>
              <w:ind w:right="173"/>
              <w:jc w:val="both"/>
              <w:rPr>
                <w:b/>
                <w:sz w:val="20"/>
                <w:szCs w:val="20"/>
              </w:rPr>
            </w:pPr>
            <w:r w:rsidRPr="000B0935">
              <w:rPr>
                <w:b/>
                <w:sz w:val="20"/>
                <w:szCs w:val="20"/>
              </w:rPr>
              <w:t>9.</w:t>
            </w:r>
          </w:p>
        </w:tc>
        <w:tc>
          <w:tcPr>
            <w:tcW w:w="990" w:type="dxa"/>
            <w:shd w:val="clear" w:color="auto" w:fill="auto"/>
          </w:tcPr>
          <w:p w14:paraId="0E6877E6" w14:textId="03A6BB0B" w:rsidR="007F5985" w:rsidRPr="000B0935" w:rsidRDefault="007F5985" w:rsidP="007667D0">
            <w:pPr>
              <w:jc w:val="both"/>
              <w:rPr>
                <w:b/>
                <w:sz w:val="20"/>
                <w:szCs w:val="20"/>
              </w:rPr>
            </w:pPr>
            <w:r w:rsidRPr="000B0935">
              <w:rPr>
                <w:b/>
                <w:sz w:val="20"/>
                <w:szCs w:val="20"/>
              </w:rPr>
              <w:t>Art. 10 ust. 5</w:t>
            </w:r>
          </w:p>
        </w:tc>
        <w:tc>
          <w:tcPr>
            <w:tcW w:w="3398" w:type="dxa"/>
            <w:shd w:val="clear" w:color="auto" w:fill="auto"/>
          </w:tcPr>
          <w:p w14:paraId="58CC5DF0" w14:textId="72D7156B" w:rsidR="007F5985" w:rsidRPr="000B0935" w:rsidRDefault="007F5985" w:rsidP="007667D0">
            <w:pPr>
              <w:jc w:val="both"/>
              <w:rPr>
                <w:rFonts w:eastAsia="Calibri"/>
                <w:sz w:val="20"/>
                <w:szCs w:val="20"/>
                <w:lang w:eastAsia="en-US"/>
              </w:rPr>
            </w:pPr>
            <w:r w:rsidRPr="000B0935">
              <w:rPr>
                <w:rFonts w:eastAsia="Calibri"/>
                <w:sz w:val="20"/>
                <w:szCs w:val="20"/>
                <w:lang w:eastAsia="en-US"/>
              </w:rPr>
              <w:t>5.W przypadkach, o których mowa w ust. 3 i 4, państwo przyjmujące dokonuje szczegółowej oceny osobistych okoliczności zainteresowanych osób i uzasadnia każdą odmowę wjazdu lub pobytu wobec tych osób.</w:t>
            </w:r>
          </w:p>
        </w:tc>
        <w:tc>
          <w:tcPr>
            <w:tcW w:w="993" w:type="dxa"/>
            <w:shd w:val="clear" w:color="auto" w:fill="auto"/>
          </w:tcPr>
          <w:p w14:paraId="333CA08C" w14:textId="56E6D5C5" w:rsidR="007F5985" w:rsidRPr="000B0935" w:rsidRDefault="002E0C62" w:rsidP="007667D0">
            <w:pPr>
              <w:jc w:val="both"/>
              <w:rPr>
                <w:b/>
                <w:sz w:val="20"/>
                <w:szCs w:val="20"/>
              </w:rPr>
            </w:pPr>
            <w:r w:rsidRPr="000B0935">
              <w:rPr>
                <w:b/>
                <w:sz w:val="20"/>
                <w:szCs w:val="20"/>
              </w:rPr>
              <w:t>T</w:t>
            </w:r>
          </w:p>
        </w:tc>
        <w:tc>
          <w:tcPr>
            <w:tcW w:w="1426" w:type="dxa"/>
            <w:shd w:val="clear" w:color="auto" w:fill="auto"/>
          </w:tcPr>
          <w:p w14:paraId="37E7E4F7" w14:textId="4BD273A5" w:rsidR="002E0C62" w:rsidRPr="000B0935" w:rsidRDefault="002E0C62" w:rsidP="007667D0">
            <w:pPr>
              <w:jc w:val="both"/>
              <w:rPr>
                <w:sz w:val="20"/>
                <w:szCs w:val="20"/>
              </w:rPr>
            </w:pPr>
          </w:p>
        </w:tc>
        <w:tc>
          <w:tcPr>
            <w:tcW w:w="3401" w:type="dxa"/>
            <w:shd w:val="clear" w:color="auto" w:fill="auto"/>
          </w:tcPr>
          <w:p w14:paraId="5647A3DB" w14:textId="14E261E6" w:rsidR="007F5985" w:rsidRPr="000B0935" w:rsidRDefault="007F5985" w:rsidP="007667D0">
            <w:pPr>
              <w:pStyle w:val="Akapitzlist"/>
              <w:autoSpaceDE w:val="0"/>
              <w:autoSpaceDN w:val="0"/>
              <w:adjustRightInd w:val="0"/>
              <w:spacing w:after="0" w:line="240" w:lineRule="auto"/>
              <w:ind w:left="24"/>
              <w:jc w:val="both"/>
              <w:rPr>
                <w:rFonts w:ascii="Times New Roman" w:hAnsi="Times New Roman"/>
                <w:sz w:val="20"/>
                <w:szCs w:val="20"/>
              </w:rPr>
            </w:pPr>
          </w:p>
        </w:tc>
        <w:tc>
          <w:tcPr>
            <w:tcW w:w="3280" w:type="dxa"/>
            <w:shd w:val="clear" w:color="auto" w:fill="auto"/>
          </w:tcPr>
          <w:p w14:paraId="1565F761" w14:textId="77777777" w:rsidR="007F5985" w:rsidRPr="000B0935" w:rsidRDefault="007F5985" w:rsidP="007667D0">
            <w:pPr>
              <w:jc w:val="both"/>
              <w:rPr>
                <w:sz w:val="20"/>
                <w:szCs w:val="20"/>
              </w:rPr>
            </w:pPr>
          </w:p>
        </w:tc>
      </w:tr>
      <w:tr w:rsidR="000B0935" w:rsidRPr="000B0935" w14:paraId="152A7838" w14:textId="77777777" w:rsidTr="00F50767">
        <w:trPr>
          <w:trHeight w:val="570"/>
        </w:trPr>
        <w:tc>
          <w:tcPr>
            <w:tcW w:w="14170" w:type="dxa"/>
            <w:gridSpan w:val="7"/>
            <w:shd w:val="clear" w:color="auto" w:fill="auto"/>
          </w:tcPr>
          <w:p w14:paraId="12425102" w14:textId="63AB5888" w:rsidR="007F5985" w:rsidRPr="000B0935" w:rsidRDefault="007F5985" w:rsidP="007667D0">
            <w:pPr>
              <w:jc w:val="both"/>
              <w:rPr>
                <w:sz w:val="20"/>
                <w:szCs w:val="20"/>
              </w:rPr>
            </w:pPr>
          </w:p>
        </w:tc>
      </w:tr>
      <w:tr w:rsidR="000B0935" w:rsidRPr="000B0935" w14:paraId="6BB95A2F" w14:textId="77777777" w:rsidTr="005E6C13">
        <w:trPr>
          <w:trHeight w:val="570"/>
        </w:trPr>
        <w:tc>
          <w:tcPr>
            <w:tcW w:w="682" w:type="dxa"/>
            <w:shd w:val="clear" w:color="auto" w:fill="auto"/>
          </w:tcPr>
          <w:p w14:paraId="4AE009D8" w14:textId="417E0ECA" w:rsidR="00156EA3" w:rsidRPr="000B0935" w:rsidRDefault="007F5985" w:rsidP="007667D0">
            <w:pPr>
              <w:ind w:right="173"/>
              <w:jc w:val="both"/>
              <w:rPr>
                <w:b/>
                <w:sz w:val="20"/>
                <w:szCs w:val="20"/>
              </w:rPr>
            </w:pPr>
            <w:r w:rsidRPr="000B0935">
              <w:rPr>
                <w:b/>
                <w:sz w:val="20"/>
                <w:szCs w:val="20"/>
              </w:rPr>
              <w:t xml:space="preserve">10. </w:t>
            </w:r>
          </w:p>
        </w:tc>
        <w:tc>
          <w:tcPr>
            <w:tcW w:w="990" w:type="dxa"/>
            <w:shd w:val="clear" w:color="auto" w:fill="auto"/>
          </w:tcPr>
          <w:p w14:paraId="0FE68F5E" w14:textId="376A57AB" w:rsidR="00156EA3" w:rsidRPr="000B0935" w:rsidRDefault="007F5985" w:rsidP="007667D0">
            <w:pPr>
              <w:jc w:val="both"/>
              <w:rPr>
                <w:b/>
                <w:sz w:val="20"/>
                <w:szCs w:val="20"/>
              </w:rPr>
            </w:pPr>
            <w:r w:rsidRPr="000B0935">
              <w:rPr>
                <w:b/>
                <w:sz w:val="20"/>
                <w:szCs w:val="20"/>
              </w:rPr>
              <w:t>Art. 11</w:t>
            </w:r>
          </w:p>
        </w:tc>
        <w:tc>
          <w:tcPr>
            <w:tcW w:w="3398" w:type="dxa"/>
            <w:shd w:val="clear" w:color="auto" w:fill="auto"/>
          </w:tcPr>
          <w:p w14:paraId="1B16D235" w14:textId="3ABC74F4" w:rsidR="00156EA3" w:rsidRPr="000B0935" w:rsidRDefault="007F5985" w:rsidP="007667D0">
            <w:pPr>
              <w:autoSpaceDE w:val="0"/>
              <w:autoSpaceDN w:val="0"/>
              <w:adjustRightInd w:val="0"/>
              <w:jc w:val="both"/>
              <w:rPr>
                <w:sz w:val="20"/>
                <w:szCs w:val="20"/>
              </w:rPr>
            </w:pPr>
            <w:r w:rsidRPr="000B0935">
              <w:rPr>
                <w:sz w:val="20"/>
                <w:szCs w:val="20"/>
              </w:rPr>
              <w:t>Na użytek art. 9 i 10 na ciągłość pobytu nie mają wpływu nieobecności, o których mowa w art. 15 ust. 2. Prawa stałego pobytu nabytego na podstawie dyrektywy 2004/38/WE przed zakończeniem okresu przejściowego nie uznaje się za utracone w wyniku nieobecności w państwie przyjmującym przez okres określony w art. 15 ust. 3.</w:t>
            </w:r>
          </w:p>
        </w:tc>
        <w:tc>
          <w:tcPr>
            <w:tcW w:w="993" w:type="dxa"/>
            <w:shd w:val="clear" w:color="auto" w:fill="auto"/>
          </w:tcPr>
          <w:p w14:paraId="558AF28D" w14:textId="1C1EB6D2" w:rsidR="00156EA3" w:rsidRPr="000B0935" w:rsidRDefault="002E0C62" w:rsidP="007667D0">
            <w:pPr>
              <w:jc w:val="both"/>
              <w:rPr>
                <w:b/>
                <w:sz w:val="20"/>
                <w:szCs w:val="20"/>
              </w:rPr>
            </w:pPr>
            <w:r w:rsidRPr="000B0935">
              <w:rPr>
                <w:b/>
                <w:sz w:val="20"/>
                <w:szCs w:val="20"/>
              </w:rPr>
              <w:t>T</w:t>
            </w:r>
          </w:p>
        </w:tc>
        <w:tc>
          <w:tcPr>
            <w:tcW w:w="1426" w:type="dxa"/>
            <w:shd w:val="clear" w:color="auto" w:fill="auto"/>
          </w:tcPr>
          <w:p w14:paraId="4E87E702" w14:textId="505C132F" w:rsidR="00156EA3" w:rsidRPr="000B0935" w:rsidRDefault="00156EA3" w:rsidP="007667D0">
            <w:pPr>
              <w:jc w:val="both"/>
              <w:rPr>
                <w:sz w:val="20"/>
                <w:szCs w:val="20"/>
              </w:rPr>
            </w:pPr>
          </w:p>
        </w:tc>
        <w:tc>
          <w:tcPr>
            <w:tcW w:w="3401" w:type="dxa"/>
            <w:shd w:val="clear" w:color="auto" w:fill="auto"/>
          </w:tcPr>
          <w:p w14:paraId="4EB6251F" w14:textId="3F704035" w:rsidR="00156EA3" w:rsidRPr="000B0935" w:rsidRDefault="00156EA3"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3CBAF798" w14:textId="77777777" w:rsidR="00156EA3" w:rsidRPr="000B0935" w:rsidRDefault="00156EA3" w:rsidP="007667D0">
            <w:pPr>
              <w:jc w:val="both"/>
              <w:rPr>
                <w:sz w:val="20"/>
                <w:szCs w:val="20"/>
              </w:rPr>
            </w:pPr>
          </w:p>
        </w:tc>
      </w:tr>
      <w:tr w:rsidR="000B0935" w:rsidRPr="000B0935" w14:paraId="1DEDAFF1" w14:textId="77777777" w:rsidTr="00F9281B">
        <w:trPr>
          <w:trHeight w:val="340"/>
        </w:trPr>
        <w:tc>
          <w:tcPr>
            <w:tcW w:w="14170" w:type="dxa"/>
            <w:gridSpan w:val="7"/>
            <w:shd w:val="clear" w:color="auto" w:fill="auto"/>
          </w:tcPr>
          <w:p w14:paraId="0BD24D57" w14:textId="7758DB6C" w:rsidR="007F5985" w:rsidRPr="000B0935" w:rsidRDefault="007F5985" w:rsidP="007667D0">
            <w:pPr>
              <w:jc w:val="both"/>
              <w:rPr>
                <w:b/>
                <w:sz w:val="20"/>
                <w:szCs w:val="20"/>
              </w:rPr>
            </w:pPr>
          </w:p>
        </w:tc>
      </w:tr>
      <w:tr w:rsidR="000B0935" w:rsidRPr="000B0935" w14:paraId="07B57EC5" w14:textId="77777777" w:rsidTr="00F50767">
        <w:trPr>
          <w:trHeight w:val="570"/>
        </w:trPr>
        <w:tc>
          <w:tcPr>
            <w:tcW w:w="14170" w:type="dxa"/>
            <w:gridSpan w:val="7"/>
            <w:shd w:val="clear" w:color="auto" w:fill="auto"/>
          </w:tcPr>
          <w:p w14:paraId="4C738B58" w14:textId="26E6A6E9" w:rsidR="00F9281B" w:rsidRPr="000B0935" w:rsidRDefault="00F9281B" w:rsidP="007667D0">
            <w:pPr>
              <w:jc w:val="both"/>
              <w:rPr>
                <w:b/>
                <w:sz w:val="20"/>
                <w:szCs w:val="20"/>
              </w:rPr>
            </w:pPr>
          </w:p>
        </w:tc>
      </w:tr>
      <w:tr w:rsidR="000B0935" w:rsidRPr="000B0935" w14:paraId="3FC24D05" w14:textId="77777777" w:rsidTr="00F50767">
        <w:trPr>
          <w:trHeight w:val="570"/>
        </w:trPr>
        <w:tc>
          <w:tcPr>
            <w:tcW w:w="14170" w:type="dxa"/>
            <w:gridSpan w:val="7"/>
            <w:shd w:val="clear" w:color="auto" w:fill="auto"/>
          </w:tcPr>
          <w:p w14:paraId="3A573CBF" w14:textId="799E090A" w:rsidR="007F5985" w:rsidRPr="000B0935" w:rsidRDefault="007F5985" w:rsidP="007667D0">
            <w:pPr>
              <w:jc w:val="both"/>
              <w:rPr>
                <w:b/>
                <w:sz w:val="20"/>
                <w:szCs w:val="20"/>
              </w:rPr>
            </w:pPr>
          </w:p>
        </w:tc>
      </w:tr>
      <w:tr w:rsidR="000B0935" w:rsidRPr="000B0935" w14:paraId="3DF49D80" w14:textId="77777777" w:rsidTr="005E6C13">
        <w:trPr>
          <w:trHeight w:val="570"/>
        </w:trPr>
        <w:tc>
          <w:tcPr>
            <w:tcW w:w="682" w:type="dxa"/>
            <w:shd w:val="clear" w:color="auto" w:fill="auto"/>
          </w:tcPr>
          <w:p w14:paraId="40C5A05B" w14:textId="71D18BF5" w:rsidR="00156EA3" w:rsidRPr="000B0935" w:rsidRDefault="00B73D42" w:rsidP="007667D0">
            <w:pPr>
              <w:ind w:right="173"/>
              <w:jc w:val="both"/>
              <w:rPr>
                <w:b/>
                <w:sz w:val="20"/>
                <w:szCs w:val="20"/>
              </w:rPr>
            </w:pPr>
            <w:r w:rsidRPr="000B0935">
              <w:rPr>
                <w:b/>
                <w:sz w:val="20"/>
                <w:szCs w:val="20"/>
              </w:rPr>
              <w:t>11.</w:t>
            </w:r>
          </w:p>
        </w:tc>
        <w:tc>
          <w:tcPr>
            <w:tcW w:w="990" w:type="dxa"/>
            <w:shd w:val="clear" w:color="auto" w:fill="auto"/>
          </w:tcPr>
          <w:p w14:paraId="78A59075" w14:textId="6F7498D4" w:rsidR="00156EA3" w:rsidRPr="000B0935" w:rsidRDefault="00B73D42" w:rsidP="007667D0">
            <w:pPr>
              <w:jc w:val="both"/>
              <w:rPr>
                <w:b/>
                <w:sz w:val="20"/>
                <w:szCs w:val="20"/>
              </w:rPr>
            </w:pPr>
            <w:r w:rsidRPr="000B0935">
              <w:rPr>
                <w:b/>
                <w:sz w:val="20"/>
                <w:szCs w:val="20"/>
              </w:rPr>
              <w:t xml:space="preserve">Art. 13 ust. 1 </w:t>
            </w:r>
          </w:p>
        </w:tc>
        <w:tc>
          <w:tcPr>
            <w:tcW w:w="3398" w:type="dxa"/>
            <w:shd w:val="clear" w:color="auto" w:fill="auto"/>
          </w:tcPr>
          <w:p w14:paraId="02A3CAB3" w14:textId="5B5AA3C0" w:rsidR="00156EA3" w:rsidRPr="000B0935" w:rsidRDefault="00B73D42" w:rsidP="007667D0">
            <w:pPr>
              <w:autoSpaceDE w:val="0"/>
              <w:autoSpaceDN w:val="0"/>
              <w:adjustRightInd w:val="0"/>
              <w:jc w:val="both"/>
              <w:rPr>
                <w:sz w:val="20"/>
                <w:szCs w:val="20"/>
              </w:rPr>
            </w:pPr>
            <w:r w:rsidRPr="000B0935">
              <w:rPr>
                <w:sz w:val="20"/>
                <w:szCs w:val="20"/>
              </w:rPr>
              <w:t>1.</w:t>
            </w:r>
            <w:r w:rsidR="006835AF" w:rsidRPr="000B0935">
              <w:rPr>
                <w:sz w:val="20"/>
                <w:szCs w:val="20"/>
              </w:rPr>
              <w:t xml:space="preserve"> </w:t>
            </w:r>
            <w:r w:rsidRPr="000B0935">
              <w:rPr>
                <w:sz w:val="20"/>
                <w:szCs w:val="20"/>
              </w:rPr>
              <w:t>Obywatele Unii i obywatele Zjednoczonego Królestwa mają prawo pobytu w państwie przyjmującym z uwzględnieniem ograniczeń i warunków określonych w art. 21, 45 lub 49 TFUE oraz art. 6 ust. 1, art. 7 ust. 1 lit. a), b) lub c), art. 7 ust. 3, art. 14, art. 16 ust. 1 lub art. 17 ust. 1 dyrektywy 2004/38/WE.</w:t>
            </w:r>
          </w:p>
        </w:tc>
        <w:tc>
          <w:tcPr>
            <w:tcW w:w="993" w:type="dxa"/>
            <w:shd w:val="clear" w:color="auto" w:fill="auto"/>
          </w:tcPr>
          <w:p w14:paraId="60A3E19C" w14:textId="77777777" w:rsidR="00156EA3" w:rsidRPr="000B0935" w:rsidRDefault="00CD73B1" w:rsidP="007667D0">
            <w:pPr>
              <w:jc w:val="both"/>
              <w:rPr>
                <w:b/>
                <w:sz w:val="20"/>
                <w:szCs w:val="20"/>
              </w:rPr>
            </w:pPr>
            <w:r w:rsidRPr="000B0935">
              <w:rPr>
                <w:b/>
                <w:sz w:val="20"/>
                <w:szCs w:val="20"/>
              </w:rPr>
              <w:t>T</w:t>
            </w:r>
          </w:p>
        </w:tc>
        <w:tc>
          <w:tcPr>
            <w:tcW w:w="1426" w:type="dxa"/>
            <w:shd w:val="clear" w:color="auto" w:fill="auto"/>
          </w:tcPr>
          <w:p w14:paraId="0A12FA70" w14:textId="2158FE7A" w:rsidR="00581A97" w:rsidRPr="000B0935" w:rsidRDefault="00581A97" w:rsidP="007667D0">
            <w:pPr>
              <w:jc w:val="both"/>
              <w:rPr>
                <w:sz w:val="20"/>
                <w:szCs w:val="20"/>
              </w:rPr>
            </w:pPr>
          </w:p>
        </w:tc>
        <w:tc>
          <w:tcPr>
            <w:tcW w:w="3401" w:type="dxa"/>
            <w:shd w:val="clear" w:color="auto" w:fill="auto"/>
          </w:tcPr>
          <w:p w14:paraId="151E6039" w14:textId="76727E02" w:rsidR="00250C27" w:rsidRPr="000B0935" w:rsidRDefault="00250C27"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495E33C3" w14:textId="3ECDC104" w:rsidR="00156EA3" w:rsidRPr="000B0935" w:rsidRDefault="00156EA3" w:rsidP="007667D0">
            <w:pPr>
              <w:jc w:val="both"/>
              <w:rPr>
                <w:sz w:val="20"/>
                <w:szCs w:val="20"/>
              </w:rPr>
            </w:pPr>
          </w:p>
        </w:tc>
      </w:tr>
      <w:tr w:rsidR="000B0935" w:rsidRPr="000B0935" w14:paraId="208A029F" w14:textId="77777777" w:rsidTr="005E6C13">
        <w:trPr>
          <w:trHeight w:val="570"/>
        </w:trPr>
        <w:tc>
          <w:tcPr>
            <w:tcW w:w="682" w:type="dxa"/>
            <w:shd w:val="clear" w:color="auto" w:fill="auto"/>
          </w:tcPr>
          <w:p w14:paraId="6C4B1349" w14:textId="68B1EE4E" w:rsidR="00156EA3" w:rsidRPr="000B0935" w:rsidRDefault="00B73D42" w:rsidP="007667D0">
            <w:pPr>
              <w:ind w:right="173"/>
              <w:jc w:val="both"/>
              <w:rPr>
                <w:b/>
                <w:sz w:val="20"/>
                <w:szCs w:val="20"/>
              </w:rPr>
            </w:pPr>
            <w:r w:rsidRPr="000B0935">
              <w:rPr>
                <w:b/>
                <w:sz w:val="20"/>
                <w:szCs w:val="20"/>
              </w:rPr>
              <w:t>12.</w:t>
            </w:r>
          </w:p>
        </w:tc>
        <w:tc>
          <w:tcPr>
            <w:tcW w:w="990" w:type="dxa"/>
            <w:shd w:val="clear" w:color="auto" w:fill="auto"/>
          </w:tcPr>
          <w:p w14:paraId="172FC4EB" w14:textId="342F14A5" w:rsidR="00156EA3" w:rsidRPr="000B0935" w:rsidRDefault="00B73D42" w:rsidP="007667D0">
            <w:pPr>
              <w:jc w:val="both"/>
              <w:rPr>
                <w:b/>
                <w:sz w:val="20"/>
                <w:szCs w:val="20"/>
              </w:rPr>
            </w:pPr>
            <w:r w:rsidRPr="000B0935">
              <w:rPr>
                <w:b/>
                <w:sz w:val="20"/>
                <w:szCs w:val="20"/>
              </w:rPr>
              <w:t>Art. 13 ust. 2</w:t>
            </w:r>
          </w:p>
        </w:tc>
        <w:tc>
          <w:tcPr>
            <w:tcW w:w="3398" w:type="dxa"/>
            <w:shd w:val="clear" w:color="auto" w:fill="auto"/>
          </w:tcPr>
          <w:p w14:paraId="1EA22658" w14:textId="0E9715B1" w:rsidR="00156EA3" w:rsidRPr="000B0935" w:rsidRDefault="00B73D42" w:rsidP="007667D0">
            <w:pPr>
              <w:autoSpaceDE w:val="0"/>
              <w:autoSpaceDN w:val="0"/>
              <w:adjustRightInd w:val="0"/>
              <w:jc w:val="both"/>
              <w:rPr>
                <w:sz w:val="20"/>
                <w:szCs w:val="20"/>
              </w:rPr>
            </w:pPr>
            <w:r w:rsidRPr="000B0935">
              <w:rPr>
                <w:sz w:val="20"/>
                <w:szCs w:val="20"/>
              </w:rPr>
              <w:t xml:space="preserve">2.Członkowie rodziny, którzy są obywatelami Unii lub obywatelami </w:t>
            </w:r>
            <w:r w:rsidRPr="000B0935">
              <w:rPr>
                <w:sz w:val="20"/>
                <w:szCs w:val="20"/>
              </w:rPr>
              <w:lastRenderedPageBreak/>
              <w:t xml:space="preserve">Zjednoczonego Królestwa, mają prawo pobytu w państwie przyjmującym zgodnie z art. 21 TFUE i art. 6 ust. 1, art. 7 ust. 1 lit. d), art. 12 ust. 1 lub 3, art. 13 ust. 1, art. 14, art. 16 ust. 1 lub art. 17 ust. 3 i 4 dyrektywy 2004/38/WE, z zastrzeżeniem ograniczeń i warunków określonych w tych przepisach. </w:t>
            </w:r>
          </w:p>
        </w:tc>
        <w:tc>
          <w:tcPr>
            <w:tcW w:w="993" w:type="dxa"/>
            <w:shd w:val="clear" w:color="auto" w:fill="auto"/>
          </w:tcPr>
          <w:p w14:paraId="4DA5AF92" w14:textId="4A36FE37" w:rsidR="00156EA3" w:rsidRPr="000B0935" w:rsidRDefault="006835AF" w:rsidP="007667D0">
            <w:pPr>
              <w:jc w:val="both"/>
              <w:rPr>
                <w:b/>
                <w:sz w:val="20"/>
                <w:szCs w:val="20"/>
              </w:rPr>
            </w:pPr>
            <w:r w:rsidRPr="000B0935">
              <w:rPr>
                <w:b/>
                <w:sz w:val="20"/>
                <w:szCs w:val="20"/>
              </w:rPr>
              <w:lastRenderedPageBreak/>
              <w:t>T</w:t>
            </w:r>
          </w:p>
        </w:tc>
        <w:tc>
          <w:tcPr>
            <w:tcW w:w="1426" w:type="dxa"/>
            <w:shd w:val="clear" w:color="auto" w:fill="auto"/>
          </w:tcPr>
          <w:p w14:paraId="684D5751" w14:textId="743EF354" w:rsidR="00581A97" w:rsidRPr="000B0935" w:rsidRDefault="00581A97" w:rsidP="007667D0">
            <w:pPr>
              <w:jc w:val="both"/>
              <w:rPr>
                <w:sz w:val="20"/>
                <w:szCs w:val="20"/>
              </w:rPr>
            </w:pPr>
          </w:p>
        </w:tc>
        <w:tc>
          <w:tcPr>
            <w:tcW w:w="3401" w:type="dxa"/>
            <w:shd w:val="clear" w:color="auto" w:fill="auto"/>
          </w:tcPr>
          <w:p w14:paraId="7A1BB21D" w14:textId="6E274996" w:rsidR="00156EA3" w:rsidRPr="000B0935" w:rsidRDefault="00156EA3"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138CEDC3" w14:textId="77777777" w:rsidR="00156EA3" w:rsidRPr="000B0935" w:rsidRDefault="00156EA3" w:rsidP="007667D0">
            <w:pPr>
              <w:jc w:val="both"/>
              <w:rPr>
                <w:sz w:val="20"/>
                <w:szCs w:val="20"/>
              </w:rPr>
            </w:pPr>
          </w:p>
        </w:tc>
      </w:tr>
      <w:tr w:rsidR="000B0935" w:rsidRPr="000B0935" w14:paraId="442AD7D7" w14:textId="77777777" w:rsidTr="005E6C13">
        <w:trPr>
          <w:trHeight w:val="570"/>
        </w:trPr>
        <w:tc>
          <w:tcPr>
            <w:tcW w:w="682" w:type="dxa"/>
            <w:shd w:val="clear" w:color="auto" w:fill="auto"/>
          </w:tcPr>
          <w:p w14:paraId="69934AC0" w14:textId="3430475E" w:rsidR="006835AF" w:rsidRPr="000B0935" w:rsidRDefault="006835AF" w:rsidP="007667D0">
            <w:pPr>
              <w:ind w:right="173"/>
              <w:jc w:val="both"/>
              <w:rPr>
                <w:b/>
                <w:sz w:val="20"/>
                <w:szCs w:val="20"/>
              </w:rPr>
            </w:pPr>
            <w:r w:rsidRPr="000B0935">
              <w:rPr>
                <w:b/>
                <w:sz w:val="20"/>
                <w:szCs w:val="20"/>
              </w:rPr>
              <w:t>13.</w:t>
            </w:r>
          </w:p>
        </w:tc>
        <w:tc>
          <w:tcPr>
            <w:tcW w:w="990" w:type="dxa"/>
            <w:shd w:val="clear" w:color="auto" w:fill="auto"/>
          </w:tcPr>
          <w:p w14:paraId="52A7A268" w14:textId="71C74B03" w:rsidR="006835AF" w:rsidRPr="000B0935" w:rsidRDefault="006835AF" w:rsidP="007667D0">
            <w:pPr>
              <w:jc w:val="both"/>
              <w:rPr>
                <w:b/>
                <w:sz w:val="20"/>
                <w:szCs w:val="20"/>
              </w:rPr>
            </w:pPr>
            <w:r w:rsidRPr="000B0935">
              <w:rPr>
                <w:b/>
                <w:sz w:val="20"/>
                <w:szCs w:val="20"/>
              </w:rPr>
              <w:t>Art. 13 ust. 3</w:t>
            </w:r>
          </w:p>
        </w:tc>
        <w:tc>
          <w:tcPr>
            <w:tcW w:w="3398" w:type="dxa"/>
            <w:shd w:val="clear" w:color="auto" w:fill="auto"/>
          </w:tcPr>
          <w:p w14:paraId="040E56E3" w14:textId="68F31B5C" w:rsidR="006835AF" w:rsidRPr="000B0935" w:rsidRDefault="006835AF" w:rsidP="007667D0">
            <w:pPr>
              <w:autoSpaceDE w:val="0"/>
              <w:autoSpaceDN w:val="0"/>
              <w:adjustRightInd w:val="0"/>
              <w:jc w:val="both"/>
              <w:rPr>
                <w:sz w:val="20"/>
                <w:szCs w:val="20"/>
              </w:rPr>
            </w:pPr>
            <w:r w:rsidRPr="000B0935">
              <w:rPr>
                <w:sz w:val="20"/>
                <w:szCs w:val="20"/>
              </w:rPr>
              <w:t>3.Członkowie rodziny, którzy nie są ani obywatelami Unii ani obywatelami Zjednoczonego Królestwa, mają prawo pobytu w państwie przyjmującym na podstawie art. 21 TFUE i zgodnie z art. 6 ust. 2, art. 7 ust. 2, art. 12 ust. 2 lub 3, art. 13 ust. 2, art. 14, art. 16 ust. 2, art. 17 ust. 3 lub 4 lub art. 18 dyrektywy 2004/38/WE, z zastrzeżeniem ograniczeń i warunków określonych w tych przepisach.</w:t>
            </w:r>
          </w:p>
        </w:tc>
        <w:tc>
          <w:tcPr>
            <w:tcW w:w="993" w:type="dxa"/>
            <w:shd w:val="clear" w:color="auto" w:fill="auto"/>
          </w:tcPr>
          <w:p w14:paraId="3527F38B" w14:textId="396B6D36" w:rsidR="006835AF" w:rsidRPr="000B0935" w:rsidRDefault="006835AF" w:rsidP="007667D0">
            <w:pPr>
              <w:jc w:val="both"/>
              <w:rPr>
                <w:b/>
                <w:sz w:val="20"/>
                <w:szCs w:val="20"/>
              </w:rPr>
            </w:pPr>
            <w:r w:rsidRPr="000B0935">
              <w:rPr>
                <w:b/>
                <w:sz w:val="20"/>
                <w:szCs w:val="20"/>
              </w:rPr>
              <w:t>T</w:t>
            </w:r>
          </w:p>
        </w:tc>
        <w:tc>
          <w:tcPr>
            <w:tcW w:w="1426" w:type="dxa"/>
            <w:shd w:val="clear" w:color="auto" w:fill="auto"/>
          </w:tcPr>
          <w:p w14:paraId="58B6F45C" w14:textId="4A83397D" w:rsidR="00581A97" w:rsidRPr="000B0935" w:rsidRDefault="00581A97" w:rsidP="007667D0">
            <w:pPr>
              <w:jc w:val="both"/>
              <w:rPr>
                <w:sz w:val="20"/>
                <w:szCs w:val="20"/>
              </w:rPr>
            </w:pPr>
          </w:p>
        </w:tc>
        <w:tc>
          <w:tcPr>
            <w:tcW w:w="3401" w:type="dxa"/>
            <w:shd w:val="clear" w:color="auto" w:fill="auto"/>
          </w:tcPr>
          <w:p w14:paraId="146D23A6" w14:textId="2E09D6D3"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39FD441D" w14:textId="77777777" w:rsidR="006835AF" w:rsidRPr="000B0935" w:rsidRDefault="006835AF" w:rsidP="007667D0">
            <w:pPr>
              <w:jc w:val="both"/>
              <w:rPr>
                <w:sz w:val="20"/>
                <w:szCs w:val="20"/>
              </w:rPr>
            </w:pPr>
          </w:p>
        </w:tc>
      </w:tr>
      <w:tr w:rsidR="000B0935" w:rsidRPr="000B0935" w14:paraId="4287B139" w14:textId="77777777" w:rsidTr="005E6C13">
        <w:trPr>
          <w:trHeight w:val="570"/>
        </w:trPr>
        <w:tc>
          <w:tcPr>
            <w:tcW w:w="682" w:type="dxa"/>
            <w:shd w:val="clear" w:color="auto" w:fill="auto"/>
          </w:tcPr>
          <w:p w14:paraId="3AA71BA3" w14:textId="778D2CAC" w:rsidR="006835AF" w:rsidRPr="000B0935" w:rsidRDefault="006835AF" w:rsidP="007667D0">
            <w:pPr>
              <w:ind w:right="173"/>
              <w:jc w:val="both"/>
              <w:rPr>
                <w:b/>
                <w:sz w:val="20"/>
                <w:szCs w:val="20"/>
              </w:rPr>
            </w:pPr>
            <w:r w:rsidRPr="000B0935">
              <w:rPr>
                <w:b/>
                <w:sz w:val="20"/>
                <w:szCs w:val="20"/>
              </w:rPr>
              <w:t>14.</w:t>
            </w:r>
          </w:p>
        </w:tc>
        <w:tc>
          <w:tcPr>
            <w:tcW w:w="990" w:type="dxa"/>
            <w:shd w:val="clear" w:color="auto" w:fill="auto"/>
          </w:tcPr>
          <w:p w14:paraId="37DC0F76" w14:textId="26BC1278" w:rsidR="006835AF" w:rsidRPr="000B0935" w:rsidRDefault="006835AF" w:rsidP="007667D0">
            <w:pPr>
              <w:jc w:val="both"/>
              <w:rPr>
                <w:b/>
                <w:sz w:val="20"/>
                <w:szCs w:val="20"/>
              </w:rPr>
            </w:pPr>
            <w:r w:rsidRPr="000B0935">
              <w:rPr>
                <w:b/>
                <w:sz w:val="20"/>
                <w:szCs w:val="20"/>
              </w:rPr>
              <w:t>Art. 13 ust. 4</w:t>
            </w:r>
          </w:p>
        </w:tc>
        <w:tc>
          <w:tcPr>
            <w:tcW w:w="3398" w:type="dxa"/>
            <w:shd w:val="clear" w:color="auto" w:fill="auto"/>
          </w:tcPr>
          <w:p w14:paraId="1049F424" w14:textId="1D8EDDB3" w:rsidR="006835AF" w:rsidRPr="000B0935" w:rsidRDefault="006835AF" w:rsidP="007667D0">
            <w:pPr>
              <w:autoSpaceDE w:val="0"/>
              <w:autoSpaceDN w:val="0"/>
              <w:adjustRightInd w:val="0"/>
              <w:jc w:val="both"/>
              <w:rPr>
                <w:sz w:val="20"/>
                <w:szCs w:val="20"/>
              </w:rPr>
            </w:pPr>
            <w:r w:rsidRPr="000B0935">
              <w:rPr>
                <w:sz w:val="20"/>
                <w:szCs w:val="20"/>
              </w:rPr>
              <w:t>4.Państwo przyjmujące nie może nakładać ograniczeń ani warunków dotyczących otrzymania, zachowania lub utraty prawa pobytu na osoby, o których mowa w ust. 1, 2 i 3, innych niż ograniczenia i warunki przewidziane w niniejszym tytule. Ograniczenia i warunki przewidziane w niniejszym tytule nie mogą być stosowane uznaniowo gdy nie działa to na korzyść zainteresowanej osoby.</w:t>
            </w:r>
          </w:p>
        </w:tc>
        <w:tc>
          <w:tcPr>
            <w:tcW w:w="993" w:type="dxa"/>
            <w:shd w:val="clear" w:color="auto" w:fill="auto"/>
          </w:tcPr>
          <w:p w14:paraId="0027CD7E" w14:textId="0D11EBB3" w:rsidR="006835AF" w:rsidRPr="000B0935" w:rsidRDefault="006835AF" w:rsidP="007667D0">
            <w:pPr>
              <w:jc w:val="both"/>
              <w:rPr>
                <w:b/>
                <w:sz w:val="20"/>
                <w:szCs w:val="20"/>
              </w:rPr>
            </w:pPr>
            <w:r w:rsidRPr="000B0935">
              <w:rPr>
                <w:b/>
                <w:sz w:val="20"/>
                <w:szCs w:val="20"/>
              </w:rPr>
              <w:t>T</w:t>
            </w:r>
          </w:p>
        </w:tc>
        <w:tc>
          <w:tcPr>
            <w:tcW w:w="1426" w:type="dxa"/>
            <w:shd w:val="clear" w:color="auto" w:fill="auto"/>
          </w:tcPr>
          <w:p w14:paraId="12030809" w14:textId="0F17E76F" w:rsidR="0000565F" w:rsidRPr="000B0935" w:rsidRDefault="0000565F" w:rsidP="007667D0">
            <w:pPr>
              <w:jc w:val="both"/>
              <w:rPr>
                <w:sz w:val="20"/>
                <w:szCs w:val="20"/>
              </w:rPr>
            </w:pPr>
          </w:p>
        </w:tc>
        <w:tc>
          <w:tcPr>
            <w:tcW w:w="3401" w:type="dxa"/>
            <w:shd w:val="clear" w:color="auto" w:fill="auto"/>
          </w:tcPr>
          <w:p w14:paraId="1957E9A9" w14:textId="27414C46"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5CABB691" w14:textId="77777777" w:rsidR="006835AF" w:rsidRPr="000B0935" w:rsidRDefault="006835AF" w:rsidP="007667D0">
            <w:pPr>
              <w:jc w:val="both"/>
              <w:rPr>
                <w:sz w:val="20"/>
                <w:szCs w:val="20"/>
              </w:rPr>
            </w:pPr>
          </w:p>
        </w:tc>
      </w:tr>
      <w:tr w:rsidR="000B0935" w:rsidRPr="000B0935" w14:paraId="4A1328C1" w14:textId="77777777" w:rsidTr="00F50767">
        <w:trPr>
          <w:trHeight w:val="570"/>
        </w:trPr>
        <w:tc>
          <w:tcPr>
            <w:tcW w:w="14170" w:type="dxa"/>
            <w:gridSpan w:val="7"/>
            <w:shd w:val="clear" w:color="auto" w:fill="auto"/>
          </w:tcPr>
          <w:p w14:paraId="61765776" w14:textId="77777777" w:rsidR="006835AF" w:rsidRPr="000B0935" w:rsidRDefault="006835AF" w:rsidP="007667D0">
            <w:pPr>
              <w:jc w:val="both"/>
              <w:rPr>
                <w:b/>
                <w:sz w:val="20"/>
                <w:szCs w:val="20"/>
              </w:rPr>
            </w:pPr>
            <w:r w:rsidRPr="000B0935">
              <w:rPr>
                <w:b/>
                <w:sz w:val="20"/>
                <w:szCs w:val="20"/>
              </w:rPr>
              <w:t xml:space="preserve">Artykuł 14 </w:t>
            </w:r>
          </w:p>
          <w:p w14:paraId="7FB7D27E" w14:textId="2A6AE23F" w:rsidR="006835AF" w:rsidRPr="000B0935" w:rsidRDefault="006835AF" w:rsidP="007667D0">
            <w:pPr>
              <w:jc w:val="both"/>
              <w:rPr>
                <w:b/>
                <w:sz w:val="20"/>
                <w:szCs w:val="20"/>
              </w:rPr>
            </w:pPr>
            <w:r w:rsidRPr="000B0935">
              <w:rPr>
                <w:b/>
                <w:sz w:val="20"/>
                <w:szCs w:val="20"/>
              </w:rPr>
              <w:t>Prawo do wyjazdu i wjazdu</w:t>
            </w:r>
          </w:p>
        </w:tc>
      </w:tr>
      <w:tr w:rsidR="000B0935" w:rsidRPr="000B0935" w14:paraId="6E21FC2E" w14:textId="77777777" w:rsidTr="005E6C13">
        <w:trPr>
          <w:trHeight w:val="570"/>
        </w:trPr>
        <w:tc>
          <w:tcPr>
            <w:tcW w:w="682" w:type="dxa"/>
            <w:shd w:val="clear" w:color="auto" w:fill="auto"/>
          </w:tcPr>
          <w:p w14:paraId="6AA6ADDF" w14:textId="65604CC4" w:rsidR="006835AF" w:rsidRPr="000B0935" w:rsidRDefault="006835AF" w:rsidP="007667D0">
            <w:pPr>
              <w:ind w:right="173"/>
              <w:jc w:val="both"/>
              <w:rPr>
                <w:b/>
                <w:sz w:val="20"/>
                <w:szCs w:val="20"/>
              </w:rPr>
            </w:pPr>
            <w:r w:rsidRPr="000B0935">
              <w:rPr>
                <w:b/>
                <w:sz w:val="20"/>
                <w:szCs w:val="20"/>
              </w:rPr>
              <w:t>15.</w:t>
            </w:r>
          </w:p>
        </w:tc>
        <w:tc>
          <w:tcPr>
            <w:tcW w:w="990" w:type="dxa"/>
            <w:shd w:val="clear" w:color="auto" w:fill="auto"/>
          </w:tcPr>
          <w:p w14:paraId="17693FDF" w14:textId="5B9862CB" w:rsidR="006835AF" w:rsidRPr="000B0935" w:rsidRDefault="006835AF" w:rsidP="007667D0">
            <w:pPr>
              <w:jc w:val="both"/>
              <w:rPr>
                <w:b/>
                <w:sz w:val="20"/>
                <w:szCs w:val="20"/>
              </w:rPr>
            </w:pPr>
            <w:r w:rsidRPr="000B0935">
              <w:rPr>
                <w:b/>
                <w:sz w:val="20"/>
                <w:szCs w:val="20"/>
              </w:rPr>
              <w:t>Art. 14 ust. 1</w:t>
            </w:r>
          </w:p>
        </w:tc>
        <w:tc>
          <w:tcPr>
            <w:tcW w:w="3398" w:type="dxa"/>
            <w:shd w:val="clear" w:color="auto" w:fill="auto"/>
          </w:tcPr>
          <w:p w14:paraId="3BC40B27" w14:textId="286FFE29" w:rsidR="006835AF" w:rsidRPr="000B0935" w:rsidRDefault="006835AF" w:rsidP="007667D0">
            <w:pPr>
              <w:autoSpaceDE w:val="0"/>
              <w:autoSpaceDN w:val="0"/>
              <w:adjustRightInd w:val="0"/>
              <w:jc w:val="both"/>
              <w:rPr>
                <w:sz w:val="20"/>
                <w:szCs w:val="20"/>
              </w:rPr>
            </w:pPr>
            <w:r w:rsidRPr="000B0935">
              <w:rPr>
                <w:sz w:val="20"/>
                <w:szCs w:val="20"/>
              </w:rPr>
              <w:t xml:space="preserve">1.Obywatele Unii i obywatele </w:t>
            </w:r>
            <w:r w:rsidRPr="004E2158">
              <w:rPr>
                <w:sz w:val="20"/>
                <w:szCs w:val="20"/>
              </w:rPr>
              <w:t>Zjednoczonego Królestwa</w:t>
            </w:r>
            <w:r w:rsidRPr="000B0935">
              <w:rPr>
                <w:sz w:val="20"/>
                <w:szCs w:val="20"/>
              </w:rPr>
              <w:t xml:space="preserve">, członkowie ich rodzin oraz inne osoby, zamieszkujący na terytorium państwa przyjmującego zgodnie z warunkami określonymi w niniejszym tytule, mają </w:t>
            </w:r>
            <w:r w:rsidRPr="000B0935">
              <w:rPr>
                <w:sz w:val="20"/>
                <w:szCs w:val="20"/>
              </w:rPr>
              <w:lastRenderedPageBreak/>
              <w:t>prawo do wyjazdu z państwa przyjmującego i prawo do wjazdu do niego, zgodnie z art. 4 ust. 1 i art. 5 ust. 1 akapit pierwszy dyrektywy 2004/38/WE, z ważnym paszportem lub krajowym dokumentem tożsamości w przypadku obywateli Unii i obywateli Zjednoczonego Królestwa oraz z ważnym paszportem w przypadku członków ich rodzin i innych osób, niebędących obywatelami Unii ani Zjednoczonego Królestwa.</w:t>
            </w:r>
          </w:p>
        </w:tc>
        <w:tc>
          <w:tcPr>
            <w:tcW w:w="993" w:type="dxa"/>
            <w:shd w:val="clear" w:color="auto" w:fill="auto"/>
          </w:tcPr>
          <w:p w14:paraId="6AECB966" w14:textId="260EB1A5" w:rsidR="006835AF" w:rsidRPr="000B0935" w:rsidRDefault="006835AF" w:rsidP="007667D0">
            <w:pPr>
              <w:jc w:val="both"/>
              <w:rPr>
                <w:b/>
                <w:sz w:val="20"/>
                <w:szCs w:val="20"/>
              </w:rPr>
            </w:pPr>
            <w:r w:rsidRPr="000B0935">
              <w:rPr>
                <w:b/>
                <w:sz w:val="20"/>
                <w:szCs w:val="20"/>
              </w:rPr>
              <w:lastRenderedPageBreak/>
              <w:t>T</w:t>
            </w:r>
          </w:p>
        </w:tc>
        <w:tc>
          <w:tcPr>
            <w:tcW w:w="1426" w:type="dxa"/>
            <w:shd w:val="clear" w:color="auto" w:fill="auto"/>
          </w:tcPr>
          <w:p w14:paraId="428511EC" w14:textId="78352F13" w:rsidR="004E2158" w:rsidRDefault="002A13D3" w:rsidP="004E2158">
            <w:pPr>
              <w:jc w:val="both"/>
              <w:rPr>
                <w:sz w:val="20"/>
                <w:szCs w:val="20"/>
              </w:rPr>
            </w:pPr>
            <w:r>
              <w:rPr>
                <w:sz w:val="20"/>
                <w:szCs w:val="20"/>
              </w:rPr>
              <w:t>Art. 8 pkt 4</w:t>
            </w:r>
            <w:r w:rsidR="004E2158">
              <w:rPr>
                <w:sz w:val="20"/>
                <w:szCs w:val="20"/>
              </w:rPr>
              <w:t xml:space="preserve"> projektu ustawy</w:t>
            </w:r>
            <w:r w:rsidR="003F1063" w:rsidRPr="000B0935">
              <w:rPr>
                <w:sz w:val="20"/>
                <w:szCs w:val="20"/>
              </w:rPr>
              <w:t xml:space="preserve"> </w:t>
            </w:r>
          </w:p>
          <w:p w14:paraId="2B5BECEE" w14:textId="77777777" w:rsidR="002A13D3" w:rsidRDefault="002A13D3" w:rsidP="004E2158">
            <w:pPr>
              <w:jc w:val="both"/>
              <w:rPr>
                <w:sz w:val="20"/>
                <w:szCs w:val="20"/>
              </w:rPr>
            </w:pPr>
          </w:p>
          <w:p w14:paraId="3F180832" w14:textId="26752C67" w:rsidR="002A13D3" w:rsidRPr="000B0935" w:rsidRDefault="002A13D3" w:rsidP="004E2158">
            <w:pPr>
              <w:jc w:val="both"/>
              <w:rPr>
                <w:sz w:val="20"/>
                <w:szCs w:val="20"/>
              </w:rPr>
            </w:pPr>
            <w:r>
              <w:rPr>
                <w:sz w:val="20"/>
                <w:szCs w:val="20"/>
              </w:rPr>
              <w:t xml:space="preserve">(dot. art. 9 ust. 3 pkt 2 ustawy </w:t>
            </w:r>
            <w:r>
              <w:rPr>
                <w:sz w:val="20"/>
                <w:szCs w:val="20"/>
              </w:rPr>
              <w:lastRenderedPageBreak/>
              <w:t>o wjeździe na terytorium Rzeczypospolitej Polskiej, pobycie oraz wyjeździe z tego terytorium obywateli państw członkowskich Unii Europejskiej i członków ich rodzin)</w:t>
            </w:r>
          </w:p>
          <w:p w14:paraId="61A65559" w14:textId="28A16BC9" w:rsidR="006835AF" w:rsidRPr="000B0935" w:rsidRDefault="006835AF" w:rsidP="007667D0">
            <w:pPr>
              <w:jc w:val="both"/>
              <w:rPr>
                <w:sz w:val="20"/>
                <w:szCs w:val="20"/>
              </w:rPr>
            </w:pPr>
          </w:p>
        </w:tc>
        <w:tc>
          <w:tcPr>
            <w:tcW w:w="3401" w:type="dxa"/>
            <w:shd w:val="clear" w:color="auto" w:fill="auto"/>
          </w:tcPr>
          <w:p w14:paraId="0A83AD29" w14:textId="1D194BAC" w:rsidR="004E2158" w:rsidRPr="00271A6A" w:rsidRDefault="002A13D3" w:rsidP="004E2158">
            <w:pPr>
              <w:pStyle w:val="ARTartustawynprozporzdzenia"/>
              <w:spacing w:before="0" w:line="240" w:lineRule="auto"/>
              <w:rPr>
                <w:rFonts w:ascii="Times New Roman" w:hAnsi="Times New Roman"/>
                <w:sz w:val="20"/>
              </w:rPr>
            </w:pPr>
            <w:r>
              <w:rPr>
                <w:rFonts w:ascii="Times New Roman" w:hAnsi="Times New Roman"/>
                <w:b/>
                <w:sz w:val="20"/>
              </w:rPr>
              <w:lastRenderedPageBreak/>
              <w:t>Art. 8</w:t>
            </w:r>
            <w:r w:rsidR="004E2158" w:rsidRPr="00271A6A">
              <w:rPr>
                <w:rFonts w:ascii="Times New Roman" w:hAnsi="Times New Roman"/>
                <w:b/>
                <w:sz w:val="20"/>
              </w:rPr>
              <w:t xml:space="preserve">. W ustawie z dnia 14 lipca 2006 r. o wjeździe na terytorium Rzeczypospolitej Polskiej, pobycie oraz wyjeździe z tego terytorium obywateli państw członkowskich Unii Europejskiej </w:t>
            </w:r>
            <w:r w:rsidR="004E2158" w:rsidRPr="00271A6A">
              <w:rPr>
                <w:rFonts w:ascii="Times New Roman" w:hAnsi="Times New Roman"/>
                <w:b/>
                <w:sz w:val="20"/>
              </w:rPr>
              <w:lastRenderedPageBreak/>
              <w:t>i członków ich rodzin</w:t>
            </w:r>
            <w:r w:rsidR="004E2158" w:rsidRPr="00271A6A">
              <w:rPr>
                <w:rFonts w:ascii="Times New Roman" w:hAnsi="Times New Roman"/>
                <w:sz w:val="20"/>
              </w:rPr>
              <w:t xml:space="preserve"> (Dz. U. z </w:t>
            </w:r>
            <w:r w:rsidR="0086468A">
              <w:rPr>
                <w:rFonts w:ascii="Times New Roman" w:hAnsi="Times New Roman"/>
                <w:sz w:val="20"/>
              </w:rPr>
              <w:t>2021 r. poz. 1697</w:t>
            </w:r>
            <w:bookmarkStart w:id="0" w:name="_GoBack"/>
            <w:bookmarkEnd w:id="0"/>
            <w:r w:rsidR="004E2158" w:rsidRPr="00271A6A">
              <w:rPr>
                <w:rFonts w:ascii="Times New Roman" w:hAnsi="Times New Roman"/>
                <w:sz w:val="20"/>
              </w:rPr>
              <w:t>) wprowadza się następujące zmiany:</w:t>
            </w:r>
          </w:p>
          <w:p w14:paraId="7896BBEF" w14:textId="1B4CDCB7" w:rsidR="004E2158" w:rsidRPr="00271A6A" w:rsidRDefault="002A13D3" w:rsidP="004E2158">
            <w:pPr>
              <w:pStyle w:val="PKTpunkt"/>
              <w:spacing w:line="240" w:lineRule="auto"/>
              <w:rPr>
                <w:rFonts w:ascii="Times New Roman" w:hAnsi="Times New Roman"/>
                <w:sz w:val="20"/>
              </w:rPr>
            </w:pPr>
            <w:r>
              <w:rPr>
                <w:rFonts w:ascii="Times New Roman" w:hAnsi="Times New Roman"/>
                <w:sz w:val="20"/>
              </w:rPr>
              <w:t>4</w:t>
            </w:r>
            <w:r w:rsidR="004E2158" w:rsidRPr="00271A6A">
              <w:rPr>
                <w:rFonts w:ascii="Times New Roman" w:hAnsi="Times New Roman"/>
                <w:sz w:val="20"/>
              </w:rPr>
              <w:t>)</w:t>
            </w:r>
            <w:r w:rsidR="004E2158" w:rsidRPr="00271A6A">
              <w:rPr>
                <w:rFonts w:ascii="Times New Roman" w:hAnsi="Times New Roman"/>
                <w:sz w:val="20"/>
              </w:rPr>
              <w:tab/>
              <w:t>w art. 9 w ust. 3 pkt 2 otrzymuje brzmienie:</w:t>
            </w:r>
          </w:p>
          <w:p w14:paraId="49B4A8F3" w14:textId="77777777" w:rsidR="004E2158" w:rsidRPr="00271A6A" w:rsidRDefault="004E2158" w:rsidP="004E2158">
            <w:pPr>
              <w:pStyle w:val="ZPKTzmpktartykuempunktem"/>
              <w:spacing w:line="240" w:lineRule="auto"/>
              <w:rPr>
                <w:rFonts w:ascii="Times New Roman" w:hAnsi="Times New Roman"/>
                <w:sz w:val="20"/>
              </w:rPr>
            </w:pPr>
            <w:r w:rsidRPr="00271A6A">
              <w:rPr>
                <w:rFonts w:ascii="Times New Roman" w:hAnsi="Times New Roman"/>
                <w:sz w:val="20"/>
              </w:rPr>
              <w:t>„2)</w:t>
            </w:r>
            <w:r w:rsidRPr="00271A6A">
              <w:rPr>
                <w:rFonts w:ascii="Times New Roman" w:hAnsi="Times New Roman"/>
                <w:sz w:val="20"/>
              </w:rPr>
              <w:tab/>
              <w:t>członka rodziny niebędącego obywatelem UE, posiadającego wydany przez inne państwo członkowskie UE, państwo członkowskie Europejskiego Porozumienia o Wolnym Handlu (EFTA) – stronę umowy o Europejskim Obszarze Gospodarczym, Konfederację Szwajcarską lub Zjednoczone Królestwo Wielkiej Brytanii i Irlandii Północnej ważny dokument odpowiadający karcie pobytowej, o której mowa w art. 30, lub karcie stałego pobytu, o której mowa w art. 54, lub ważną kartę pobytu, o której mowa w art. 226 pkt 1 ustawy z dnia 12 grudnia 2013 r. o cudzoziemcach.”;</w:t>
            </w:r>
          </w:p>
          <w:p w14:paraId="421D86F1" w14:textId="58AC6EB4"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01CE9B21" w14:textId="77777777" w:rsidR="006835AF" w:rsidRPr="000B0935" w:rsidRDefault="006835AF" w:rsidP="007667D0">
            <w:pPr>
              <w:jc w:val="both"/>
              <w:rPr>
                <w:sz w:val="20"/>
                <w:szCs w:val="20"/>
              </w:rPr>
            </w:pPr>
          </w:p>
        </w:tc>
      </w:tr>
      <w:tr w:rsidR="000B0935" w:rsidRPr="000B0935" w14:paraId="35D9CECD" w14:textId="77777777" w:rsidTr="005E6C13">
        <w:trPr>
          <w:trHeight w:val="570"/>
        </w:trPr>
        <w:tc>
          <w:tcPr>
            <w:tcW w:w="682" w:type="dxa"/>
            <w:shd w:val="clear" w:color="auto" w:fill="auto"/>
          </w:tcPr>
          <w:p w14:paraId="28D45D96" w14:textId="77931827" w:rsidR="006835AF" w:rsidRPr="000B0935" w:rsidRDefault="006835AF" w:rsidP="007667D0">
            <w:pPr>
              <w:ind w:right="173"/>
              <w:jc w:val="both"/>
              <w:rPr>
                <w:b/>
                <w:sz w:val="20"/>
                <w:szCs w:val="20"/>
              </w:rPr>
            </w:pPr>
            <w:r w:rsidRPr="000B0935">
              <w:rPr>
                <w:b/>
                <w:sz w:val="20"/>
                <w:szCs w:val="20"/>
              </w:rPr>
              <w:t>16.</w:t>
            </w:r>
          </w:p>
        </w:tc>
        <w:tc>
          <w:tcPr>
            <w:tcW w:w="990" w:type="dxa"/>
            <w:shd w:val="clear" w:color="auto" w:fill="auto"/>
          </w:tcPr>
          <w:p w14:paraId="76170B0C" w14:textId="6A00120F" w:rsidR="006835AF" w:rsidRPr="000B0935" w:rsidRDefault="006835AF" w:rsidP="007667D0">
            <w:pPr>
              <w:jc w:val="both"/>
              <w:rPr>
                <w:b/>
                <w:sz w:val="20"/>
                <w:szCs w:val="20"/>
              </w:rPr>
            </w:pPr>
            <w:r w:rsidRPr="000B0935">
              <w:rPr>
                <w:b/>
                <w:sz w:val="20"/>
                <w:szCs w:val="20"/>
              </w:rPr>
              <w:t>Art. 14 ust. 2</w:t>
            </w:r>
          </w:p>
        </w:tc>
        <w:tc>
          <w:tcPr>
            <w:tcW w:w="3398" w:type="dxa"/>
            <w:shd w:val="clear" w:color="auto" w:fill="auto"/>
          </w:tcPr>
          <w:p w14:paraId="6D0FB71B" w14:textId="7A485FDA" w:rsidR="006835AF" w:rsidRPr="000B0935" w:rsidRDefault="006835AF" w:rsidP="007667D0">
            <w:pPr>
              <w:autoSpaceDE w:val="0"/>
              <w:autoSpaceDN w:val="0"/>
              <w:adjustRightInd w:val="0"/>
              <w:jc w:val="both"/>
              <w:rPr>
                <w:sz w:val="20"/>
                <w:szCs w:val="20"/>
              </w:rPr>
            </w:pPr>
            <w:r w:rsidRPr="000B0935">
              <w:rPr>
                <w:sz w:val="20"/>
                <w:szCs w:val="20"/>
              </w:rPr>
              <w:t>2.Od posiadaczy ważnego dokumentu wydanego zgodnie z art. 18 lub 26 nie wymaga się posiadania wizy wyjazdowej, wizy wjazdowej ani równoważnych formalności.</w:t>
            </w:r>
          </w:p>
        </w:tc>
        <w:tc>
          <w:tcPr>
            <w:tcW w:w="993" w:type="dxa"/>
            <w:shd w:val="clear" w:color="auto" w:fill="auto"/>
          </w:tcPr>
          <w:p w14:paraId="0EF06872" w14:textId="0B06E0AF" w:rsidR="006835AF" w:rsidRPr="000B0935" w:rsidRDefault="003F1063" w:rsidP="007667D0">
            <w:pPr>
              <w:jc w:val="both"/>
              <w:rPr>
                <w:b/>
                <w:sz w:val="20"/>
                <w:szCs w:val="20"/>
              </w:rPr>
            </w:pPr>
            <w:r w:rsidRPr="000B0935">
              <w:rPr>
                <w:b/>
                <w:sz w:val="20"/>
                <w:szCs w:val="20"/>
              </w:rPr>
              <w:t xml:space="preserve">T </w:t>
            </w:r>
          </w:p>
        </w:tc>
        <w:tc>
          <w:tcPr>
            <w:tcW w:w="1426" w:type="dxa"/>
            <w:shd w:val="clear" w:color="auto" w:fill="auto"/>
          </w:tcPr>
          <w:p w14:paraId="37E3849A" w14:textId="398531F1" w:rsidR="006835AF" w:rsidRPr="000B0935" w:rsidRDefault="006835AF" w:rsidP="007667D0">
            <w:pPr>
              <w:jc w:val="both"/>
              <w:rPr>
                <w:sz w:val="20"/>
                <w:szCs w:val="20"/>
              </w:rPr>
            </w:pPr>
          </w:p>
        </w:tc>
        <w:tc>
          <w:tcPr>
            <w:tcW w:w="3401" w:type="dxa"/>
            <w:shd w:val="clear" w:color="auto" w:fill="auto"/>
          </w:tcPr>
          <w:p w14:paraId="2E62E1B6" w14:textId="3A5A6944"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2279CDD3" w14:textId="77777777" w:rsidR="006835AF" w:rsidRPr="000B0935" w:rsidRDefault="006835AF" w:rsidP="007667D0">
            <w:pPr>
              <w:jc w:val="both"/>
              <w:rPr>
                <w:sz w:val="20"/>
                <w:szCs w:val="20"/>
              </w:rPr>
            </w:pPr>
          </w:p>
        </w:tc>
      </w:tr>
      <w:tr w:rsidR="000B0935" w:rsidRPr="000B0935" w14:paraId="0978BF66" w14:textId="77777777" w:rsidTr="005E6C13">
        <w:trPr>
          <w:trHeight w:val="570"/>
        </w:trPr>
        <w:tc>
          <w:tcPr>
            <w:tcW w:w="682" w:type="dxa"/>
            <w:shd w:val="clear" w:color="auto" w:fill="auto"/>
          </w:tcPr>
          <w:p w14:paraId="7FDF5C52" w14:textId="7196E49D" w:rsidR="006835AF" w:rsidRPr="000B0935" w:rsidRDefault="006835AF" w:rsidP="007667D0">
            <w:pPr>
              <w:ind w:right="173"/>
              <w:jc w:val="both"/>
              <w:rPr>
                <w:b/>
                <w:sz w:val="20"/>
                <w:szCs w:val="20"/>
              </w:rPr>
            </w:pPr>
            <w:r w:rsidRPr="000B0935">
              <w:rPr>
                <w:b/>
                <w:sz w:val="20"/>
                <w:szCs w:val="20"/>
              </w:rPr>
              <w:lastRenderedPageBreak/>
              <w:t xml:space="preserve">17. </w:t>
            </w:r>
          </w:p>
        </w:tc>
        <w:tc>
          <w:tcPr>
            <w:tcW w:w="990" w:type="dxa"/>
            <w:shd w:val="clear" w:color="auto" w:fill="auto"/>
          </w:tcPr>
          <w:p w14:paraId="36E5AB6D" w14:textId="41CF02C5" w:rsidR="006835AF" w:rsidRPr="000B0935" w:rsidRDefault="006835AF" w:rsidP="007667D0">
            <w:pPr>
              <w:jc w:val="both"/>
              <w:rPr>
                <w:b/>
                <w:sz w:val="20"/>
                <w:szCs w:val="20"/>
              </w:rPr>
            </w:pPr>
            <w:r w:rsidRPr="000B0935">
              <w:rPr>
                <w:b/>
                <w:sz w:val="20"/>
                <w:szCs w:val="20"/>
              </w:rPr>
              <w:t>Art. 14 ust. 3</w:t>
            </w:r>
          </w:p>
        </w:tc>
        <w:tc>
          <w:tcPr>
            <w:tcW w:w="3398" w:type="dxa"/>
            <w:shd w:val="clear" w:color="auto" w:fill="auto"/>
          </w:tcPr>
          <w:p w14:paraId="23EE5555" w14:textId="379389E1" w:rsidR="006835AF" w:rsidRPr="000B0935" w:rsidRDefault="006835AF" w:rsidP="007667D0">
            <w:pPr>
              <w:autoSpaceDE w:val="0"/>
              <w:autoSpaceDN w:val="0"/>
              <w:adjustRightInd w:val="0"/>
              <w:jc w:val="both"/>
              <w:rPr>
                <w:sz w:val="20"/>
                <w:szCs w:val="20"/>
              </w:rPr>
            </w:pPr>
            <w:r w:rsidRPr="000B0935">
              <w:rPr>
                <w:sz w:val="20"/>
                <w:szCs w:val="20"/>
              </w:rPr>
              <w:t>3.W przypadku gdy państwo przyjmujące wymaga od członków rodziny, którzy dołączają do obywatela Unii lub obywatela Zjednoczonego Królestwa po zakończeniu okresu przejściowego, posiadania wizy wjazdowej, państwo przyjmujące zapewnia takim osobom wszelkie ułatwienia w uzyskaniu niezbędnych wiz. Wizy takie są wydawane nieodpłatnie, tak szybko jak to jest możliwe, oraz przy zastosowaniu procedury przyśpieszonej.</w:t>
            </w:r>
          </w:p>
        </w:tc>
        <w:tc>
          <w:tcPr>
            <w:tcW w:w="993" w:type="dxa"/>
            <w:shd w:val="clear" w:color="auto" w:fill="auto"/>
          </w:tcPr>
          <w:p w14:paraId="094C6477" w14:textId="5E401A80" w:rsidR="006835AF" w:rsidRPr="000B0935" w:rsidRDefault="006835AF" w:rsidP="007667D0">
            <w:pPr>
              <w:jc w:val="both"/>
              <w:rPr>
                <w:b/>
                <w:sz w:val="20"/>
                <w:szCs w:val="20"/>
              </w:rPr>
            </w:pPr>
            <w:r w:rsidRPr="000B0935">
              <w:rPr>
                <w:b/>
                <w:sz w:val="20"/>
                <w:szCs w:val="20"/>
              </w:rPr>
              <w:t>T</w:t>
            </w:r>
          </w:p>
        </w:tc>
        <w:tc>
          <w:tcPr>
            <w:tcW w:w="1426" w:type="dxa"/>
            <w:shd w:val="clear" w:color="auto" w:fill="auto"/>
          </w:tcPr>
          <w:p w14:paraId="4CD91671" w14:textId="6CA802A7" w:rsidR="00EC0B5D" w:rsidRPr="000B0935" w:rsidRDefault="00EC0B5D" w:rsidP="007667D0">
            <w:pPr>
              <w:jc w:val="both"/>
              <w:rPr>
                <w:sz w:val="20"/>
                <w:szCs w:val="20"/>
              </w:rPr>
            </w:pPr>
          </w:p>
        </w:tc>
        <w:tc>
          <w:tcPr>
            <w:tcW w:w="3401" w:type="dxa"/>
            <w:shd w:val="clear" w:color="auto" w:fill="auto"/>
          </w:tcPr>
          <w:p w14:paraId="3F3ECE15" w14:textId="45D9B508"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6774DE15" w14:textId="77777777" w:rsidR="006835AF" w:rsidRPr="000B0935" w:rsidRDefault="006835AF" w:rsidP="007667D0">
            <w:pPr>
              <w:jc w:val="both"/>
              <w:rPr>
                <w:sz w:val="20"/>
                <w:szCs w:val="20"/>
              </w:rPr>
            </w:pPr>
          </w:p>
        </w:tc>
      </w:tr>
      <w:tr w:rsidR="000B0935" w:rsidRPr="000B0935" w14:paraId="7334EDD8" w14:textId="77777777" w:rsidTr="00F50767">
        <w:trPr>
          <w:trHeight w:val="570"/>
        </w:trPr>
        <w:tc>
          <w:tcPr>
            <w:tcW w:w="14170" w:type="dxa"/>
            <w:gridSpan w:val="7"/>
            <w:shd w:val="clear" w:color="auto" w:fill="auto"/>
          </w:tcPr>
          <w:p w14:paraId="49B65703" w14:textId="4C02BC83" w:rsidR="006835AF" w:rsidRPr="000B0935" w:rsidRDefault="006835AF" w:rsidP="007667D0">
            <w:pPr>
              <w:jc w:val="both"/>
              <w:rPr>
                <w:b/>
                <w:sz w:val="20"/>
                <w:szCs w:val="20"/>
              </w:rPr>
            </w:pPr>
          </w:p>
        </w:tc>
      </w:tr>
      <w:tr w:rsidR="000B0935" w:rsidRPr="000B0935" w14:paraId="797F1B49" w14:textId="77777777" w:rsidTr="005E6C13">
        <w:trPr>
          <w:trHeight w:val="570"/>
        </w:trPr>
        <w:tc>
          <w:tcPr>
            <w:tcW w:w="682" w:type="dxa"/>
            <w:shd w:val="clear" w:color="auto" w:fill="auto"/>
          </w:tcPr>
          <w:p w14:paraId="50957CEA" w14:textId="374F3B7D" w:rsidR="006835AF" w:rsidRPr="000B0935" w:rsidRDefault="006835AF" w:rsidP="007667D0">
            <w:pPr>
              <w:ind w:right="173"/>
              <w:jc w:val="both"/>
              <w:rPr>
                <w:b/>
                <w:sz w:val="20"/>
                <w:szCs w:val="20"/>
              </w:rPr>
            </w:pPr>
            <w:r w:rsidRPr="000B0935">
              <w:rPr>
                <w:b/>
                <w:sz w:val="20"/>
                <w:szCs w:val="20"/>
              </w:rPr>
              <w:t>18.</w:t>
            </w:r>
          </w:p>
        </w:tc>
        <w:tc>
          <w:tcPr>
            <w:tcW w:w="990" w:type="dxa"/>
            <w:shd w:val="clear" w:color="auto" w:fill="auto"/>
          </w:tcPr>
          <w:p w14:paraId="11E60A2E" w14:textId="500044B7" w:rsidR="006835AF" w:rsidRPr="000B0935" w:rsidRDefault="006835AF" w:rsidP="007667D0">
            <w:pPr>
              <w:jc w:val="both"/>
              <w:rPr>
                <w:b/>
                <w:sz w:val="20"/>
                <w:szCs w:val="20"/>
              </w:rPr>
            </w:pPr>
            <w:r w:rsidRPr="000B0935">
              <w:rPr>
                <w:b/>
                <w:sz w:val="20"/>
                <w:szCs w:val="20"/>
              </w:rPr>
              <w:t>Art. 15 ust. 1</w:t>
            </w:r>
          </w:p>
        </w:tc>
        <w:tc>
          <w:tcPr>
            <w:tcW w:w="3398" w:type="dxa"/>
            <w:shd w:val="clear" w:color="auto" w:fill="auto"/>
          </w:tcPr>
          <w:p w14:paraId="41215323" w14:textId="6B147862" w:rsidR="006835AF" w:rsidRPr="000B0935" w:rsidRDefault="006835AF" w:rsidP="007667D0">
            <w:pPr>
              <w:autoSpaceDE w:val="0"/>
              <w:autoSpaceDN w:val="0"/>
              <w:adjustRightInd w:val="0"/>
              <w:jc w:val="both"/>
              <w:rPr>
                <w:sz w:val="20"/>
                <w:szCs w:val="20"/>
              </w:rPr>
            </w:pPr>
            <w:r w:rsidRPr="000B0935">
              <w:rPr>
                <w:sz w:val="20"/>
                <w:szCs w:val="20"/>
              </w:rPr>
              <w:t xml:space="preserve">1.Obywatele Unii i obywatele Zjednoczonego Królestwa oraz członkowie ich rodzin, którzy legalnie zamieszkiwali w państwie przyjmującym zgodnie z prawem Unii przez nieprzerwany okres 5 lat lub przez okres określony w art. 17 dyrektywy 2004/38/WE, mają prawo stałego pobytu w państwie przyjmującym na warunkach przewidzianych w art. 16, 17 i 18 dyrektywy 2004/38/WE. Okresy legalnego pobytu lub pracy zgodnie z prawem Unii, przypadające na czas przed zakończeniem okresu przejściowego i po nim, wlicza się do wymaganego okresu uprawniającego do nabycia prawa stałego pobytu. </w:t>
            </w:r>
          </w:p>
        </w:tc>
        <w:tc>
          <w:tcPr>
            <w:tcW w:w="993" w:type="dxa"/>
            <w:shd w:val="clear" w:color="auto" w:fill="auto"/>
          </w:tcPr>
          <w:p w14:paraId="367F4A0B" w14:textId="6370F99F" w:rsidR="006835AF" w:rsidRPr="000B0935" w:rsidRDefault="008F7F05" w:rsidP="007667D0">
            <w:pPr>
              <w:jc w:val="both"/>
              <w:rPr>
                <w:b/>
                <w:sz w:val="20"/>
                <w:szCs w:val="20"/>
              </w:rPr>
            </w:pPr>
            <w:r w:rsidRPr="000B0935">
              <w:rPr>
                <w:b/>
                <w:sz w:val="20"/>
                <w:szCs w:val="20"/>
              </w:rPr>
              <w:t>T</w:t>
            </w:r>
          </w:p>
        </w:tc>
        <w:tc>
          <w:tcPr>
            <w:tcW w:w="1426" w:type="dxa"/>
            <w:shd w:val="clear" w:color="auto" w:fill="auto"/>
          </w:tcPr>
          <w:p w14:paraId="4C486A27" w14:textId="3F2BF7FD" w:rsidR="00686BF2" w:rsidRPr="000B0935" w:rsidRDefault="00686BF2" w:rsidP="007667D0">
            <w:pPr>
              <w:jc w:val="both"/>
              <w:rPr>
                <w:sz w:val="20"/>
                <w:szCs w:val="20"/>
              </w:rPr>
            </w:pPr>
          </w:p>
        </w:tc>
        <w:tc>
          <w:tcPr>
            <w:tcW w:w="3401" w:type="dxa"/>
            <w:shd w:val="clear" w:color="auto" w:fill="auto"/>
          </w:tcPr>
          <w:p w14:paraId="111D3210" w14:textId="2006C7CE" w:rsidR="00A50DAF" w:rsidRPr="000B0935" w:rsidRDefault="00A50D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281645C3" w14:textId="77777777" w:rsidR="006835AF" w:rsidRPr="000B0935" w:rsidRDefault="006835AF" w:rsidP="007667D0">
            <w:pPr>
              <w:jc w:val="both"/>
              <w:rPr>
                <w:sz w:val="20"/>
                <w:szCs w:val="20"/>
              </w:rPr>
            </w:pPr>
          </w:p>
        </w:tc>
      </w:tr>
      <w:tr w:rsidR="000B0935" w:rsidRPr="000B0935" w14:paraId="6420DBAD" w14:textId="77777777" w:rsidTr="005E6C13">
        <w:trPr>
          <w:trHeight w:val="570"/>
        </w:trPr>
        <w:tc>
          <w:tcPr>
            <w:tcW w:w="682" w:type="dxa"/>
            <w:shd w:val="clear" w:color="auto" w:fill="auto"/>
          </w:tcPr>
          <w:p w14:paraId="1C46AA5F" w14:textId="35B47DDE" w:rsidR="006835AF" w:rsidRPr="000B0935" w:rsidRDefault="006835AF" w:rsidP="007667D0">
            <w:pPr>
              <w:ind w:right="173"/>
              <w:jc w:val="both"/>
              <w:rPr>
                <w:b/>
                <w:sz w:val="20"/>
                <w:szCs w:val="20"/>
              </w:rPr>
            </w:pPr>
            <w:r w:rsidRPr="000B0935">
              <w:rPr>
                <w:b/>
                <w:sz w:val="20"/>
                <w:szCs w:val="20"/>
              </w:rPr>
              <w:t>19.</w:t>
            </w:r>
          </w:p>
        </w:tc>
        <w:tc>
          <w:tcPr>
            <w:tcW w:w="990" w:type="dxa"/>
            <w:shd w:val="clear" w:color="auto" w:fill="auto"/>
          </w:tcPr>
          <w:p w14:paraId="5E02B2E3" w14:textId="0139227F" w:rsidR="006835AF" w:rsidRPr="000B0935" w:rsidRDefault="006835AF" w:rsidP="007667D0">
            <w:pPr>
              <w:jc w:val="both"/>
              <w:rPr>
                <w:b/>
                <w:sz w:val="20"/>
                <w:szCs w:val="20"/>
              </w:rPr>
            </w:pPr>
            <w:r w:rsidRPr="000B0935">
              <w:rPr>
                <w:b/>
                <w:sz w:val="20"/>
                <w:szCs w:val="20"/>
              </w:rPr>
              <w:t>Art. 15 ust. 2</w:t>
            </w:r>
          </w:p>
        </w:tc>
        <w:tc>
          <w:tcPr>
            <w:tcW w:w="3398" w:type="dxa"/>
            <w:shd w:val="clear" w:color="auto" w:fill="auto"/>
          </w:tcPr>
          <w:p w14:paraId="28958708" w14:textId="4D374F97" w:rsidR="006835AF" w:rsidRPr="000B0935" w:rsidRDefault="006835AF" w:rsidP="007667D0">
            <w:pPr>
              <w:autoSpaceDE w:val="0"/>
              <w:autoSpaceDN w:val="0"/>
              <w:adjustRightInd w:val="0"/>
              <w:jc w:val="both"/>
              <w:rPr>
                <w:sz w:val="20"/>
                <w:szCs w:val="20"/>
              </w:rPr>
            </w:pPr>
            <w:r w:rsidRPr="000B0935">
              <w:rPr>
                <w:sz w:val="20"/>
                <w:szCs w:val="20"/>
              </w:rPr>
              <w:t>2.Ciągłość pobytu dla potrzeb nabycia prawa stałego pobytu określa się zgodnie z art. 16 ust. 3 i art. 21 dyrektywy 2004/38/WE.</w:t>
            </w:r>
          </w:p>
        </w:tc>
        <w:tc>
          <w:tcPr>
            <w:tcW w:w="993" w:type="dxa"/>
            <w:shd w:val="clear" w:color="auto" w:fill="auto"/>
          </w:tcPr>
          <w:p w14:paraId="0B6A0C36" w14:textId="116EDFF7" w:rsidR="006835AF" w:rsidRPr="000B0935" w:rsidRDefault="00A50DAF" w:rsidP="007667D0">
            <w:pPr>
              <w:jc w:val="both"/>
              <w:rPr>
                <w:b/>
                <w:sz w:val="20"/>
                <w:szCs w:val="20"/>
              </w:rPr>
            </w:pPr>
            <w:r w:rsidRPr="000B0935">
              <w:rPr>
                <w:b/>
                <w:sz w:val="20"/>
                <w:szCs w:val="20"/>
              </w:rPr>
              <w:t>T</w:t>
            </w:r>
          </w:p>
        </w:tc>
        <w:tc>
          <w:tcPr>
            <w:tcW w:w="1426" w:type="dxa"/>
            <w:shd w:val="clear" w:color="auto" w:fill="auto"/>
          </w:tcPr>
          <w:p w14:paraId="7E631FF9" w14:textId="5A44A1C3" w:rsidR="00657B21" w:rsidRPr="000B0935" w:rsidRDefault="00657B21" w:rsidP="007667D0">
            <w:pPr>
              <w:jc w:val="both"/>
              <w:rPr>
                <w:sz w:val="20"/>
                <w:szCs w:val="20"/>
              </w:rPr>
            </w:pPr>
          </w:p>
        </w:tc>
        <w:tc>
          <w:tcPr>
            <w:tcW w:w="3401" w:type="dxa"/>
            <w:shd w:val="clear" w:color="auto" w:fill="auto"/>
          </w:tcPr>
          <w:p w14:paraId="3BCE81AD" w14:textId="14D569B3" w:rsidR="00A239EC" w:rsidRPr="000B0935" w:rsidRDefault="00A239EC"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7C51AB2D" w14:textId="77777777" w:rsidR="006835AF" w:rsidRPr="000B0935" w:rsidRDefault="006835AF" w:rsidP="007667D0">
            <w:pPr>
              <w:jc w:val="both"/>
              <w:rPr>
                <w:sz w:val="20"/>
                <w:szCs w:val="20"/>
              </w:rPr>
            </w:pPr>
          </w:p>
        </w:tc>
      </w:tr>
      <w:tr w:rsidR="000B0935" w:rsidRPr="000B0935" w14:paraId="7657D25E" w14:textId="77777777" w:rsidTr="005E6C13">
        <w:trPr>
          <w:trHeight w:val="570"/>
        </w:trPr>
        <w:tc>
          <w:tcPr>
            <w:tcW w:w="682" w:type="dxa"/>
            <w:shd w:val="clear" w:color="auto" w:fill="auto"/>
          </w:tcPr>
          <w:p w14:paraId="5B985F47" w14:textId="27655031" w:rsidR="006835AF" w:rsidRPr="000B0935" w:rsidRDefault="006835AF" w:rsidP="007667D0">
            <w:pPr>
              <w:ind w:right="173"/>
              <w:jc w:val="both"/>
              <w:rPr>
                <w:b/>
                <w:sz w:val="20"/>
                <w:szCs w:val="20"/>
              </w:rPr>
            </w:pPr>
            <w:r w:rsidRPr="000B0935">
              <w:rPr>
                <w:b/>
                <w:sz w:val="20"/>
                <w:szCs w:val="20"/>
              </w:rPr>
              <w:t xml:space="preserve">20. </w:t>
            </w:r>
          </w:p>
        </w:tc>
        <w:tc>
          <w:tcPr>
            <w:tcW w:w="990" w:type="dxa"/>
            <w:shd w:val="clear" w:color="auto" w:fill="auto"/>
          </w:tcPr>
          <w:p w14:paraId="7F8C020D" w14:textId="0881A93D" w:rsidR="006835AF" w:rsidRPr="000B0935" w:rsidRDefault="006835AF" w:rsidP="007667D0">
            <w:pPr>
              <w:jc w:val="both"/>
              <w:rPr>
                <w:b/>
                <w:sz w:val="20"/>
                <w:szCs w:val="20"/>
              </w:rPr>
            </w:pPr>
            <w:r w:rsidRPr="000B0935">
              <w:rPr>
                <w:b/>
                <w:sz w:val="20"/>
                <w:szCs w:val="20"/>
              </w:rPr>
              <w:t>Art. 15 ust. 3</w:t>
            </w:r>
          </w:p>
        </w:tc>
        <w:tc>
          <w:tcPr>
            <w:tcW w:w="3398" w:type="dxa"/>
            <w:shd w:val="clear" w:color="auto" w:fill="auto"/>
          </w:tcPr>
          <w:p w14:paraId="3937B611" w14:textId="0B5B3CDE" w:rsidR="006835AF" w:rsidRPr="000B0935" w:rsidRDefault="006835AF" w:rsidP="007667D0">
            <w:pPr>
              <w:autoSpaceDE w:val="0"/>
              <w:autoSpaceDN w:val="0"/>
              <w:adjustRightInd w:val="0"/>
              <w:jc w:val="both"/>
              <w:rPr>
                <w:sz w:val="20"/>
                <w:szCs w:val="20"/>
              </w:rPr>
            </w:pPr>
            <w:r w:rsidRPr="000B0935">
              <w:rPr>
                <w:sz w:val="20"/>
                <w:szCs w:val="20"/>
              </w:rPr>
              <w:t xml:space="preserve">3.Utrata nabytego prawa stałego pobytu może nastąpić jedynie w wyniku </w:t>
            </w:r>
            <w:r w:rsidRPr="000B0935">
              <w:rPr>
                <w:sz w:val="20"/>
                <w:szCs w:val="20"/>
              </w:rPr>
              <w:lastRenderedPageBreak/>
              <w:t>nieobecności w państwie przyjmującym przez okres przekraczający 5 kolejnych lat.</w:t>
            </w:r>
          </w:p>
        </w:tc>
        <w:tc>
          <w:tcPr>
            <w:tcW w:w="993" w:type="dxa"/>
            <w:shd w:val="clear" w:color="auto" w:fill="auto"/>
          </w:tcPr>
          <w:p w14:paraId="29508212" w14:textId="19ACB831" w:rsidR="006835AF" w:rsidRPr="000B0935" w:rsidRDefault="00A50DAF" w:rsidP="007667D0">
            <w:pPr>
              <w:jc w:val="both"/>
              <w:rPr>
                <w:b/>
                <w:sz w:val="20"/>
                <w:szCs w:val="20"/>
              </w:rPr>
            </w:pPr>
            <w:r w:rsidRPr="000B0935">
              <w:rPr>
                <w:b/>
                <w:sz w:val="20"/>
                <w:szCs w:val="20"/>
              </w:rPr>
              <w:lastRenderedPageBreak/>
              <w:t>T</w:t>
            </w:r>
          </w:p>
        </w:tc>
        <w:tc>
          <w:tcPr>
            <w:tcW w:w="1426" w:type="dxa"/>
            <w:shd w:val="clear" w:color="auto" w:fill="auto"/>
          </w:tcPr>
          <w:p w14:paraId="109AA27E" w14:textId="62DAAC5F" w:rsidR="006835AF" w:rsidRPr="000B0935" w:rsidRDefault="006835AF" w:rsidP="007667D0">
            <w:pPr>
              <w:jc w:val="both"/>
              <w:rPr>
                <w:sz w:val="20"/>
                <w:szCs w:val="20"/>
              </w:rPr>
            </w:pPr>
          </w:p>
        </w:tc>
        <w:tc>
          <w:tcPr>
            <w:tcW w:w="3401" w:type="dxa"/>
            <w:shd w:val="clear" w:color="auto" w:fill="auto"/>
          </w:tcPr>
          <w:p w14:paraId="175866DC" w14:textId="15FE965A"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356ECA68" w14:textId="77777777" w:rsidR="006835AF" w:rsidRPr="000B0935" w:rsidRDefault="006835AF" w:rsidP="007667D0">
            <w:pPr>
              <w:jc w:val="both"/>
              <w:rPr>
                <w:sz w:val="20"/>
                <w:szCs w:val="20"/>
              </w:rPr>
            </w:pPr>
          </w:p>
        </w:tc>
      </w:tr>
      <w:tr w:rsidR="000B0935" w:rsidRPr="000B0935" w14:paraId="090BBB8D" w14:textId="77777777" w:rsidTr="00F50767">
        <w:trPr>
          <w:trHeight w:val="570"/>
        </w:trPr>
        <w:tc>
          <w:tcPr>
            <w:tcW w:w="14170" w:type="dxa"/>
            <w:gridSpan w:val="7"/>
            <w:shd w:val="clear" w:color="auto" w:fill="auto"/>
          </w:tcPr>
          <w:p w14:paraId="5DF131AE" w14:textId="7A13A2C2" w:rsidR="006835AF" w:rsidRPr="000B0935" w:rsidRDefault="006835AF" w:rsidP="007667D0">
            <w:pPr>
              <w:jc w:val="both"/>
              <w:rPr>
                <w:b/>
                <w:sz w:val="20"/>
                <w:szCs w:val="20"/>
              </w:rPr>
            </w:pPr>
          </w:p>
        </w:tc>
      </w:tr>
      <w:tr w:rsidR="000B0935" w:rsidRPr="000B0935" w14:paraId="2C2CB28F" w14:textId="77777777" w:rsidTr="005E6C13">
        <w:trPr>
          <w:trHeight w:val="570"/>
        </w:trPr>
        <w:tc>
          <w:tcPr>
            <w:tcW w:w="682" w:type="dxa"/>
            <w:shd w:val="clear" w:color="auto" w:fill="auto"/>
          </w:tcPr>
          <w:p w14:paraId="2226D3CF" w14:textId="77A5C633" w:rsidR="006835AF" w:rsidRPr="000B0935" w:rsidRDefault="006835AF" w:rsidP="007667D0">
            <w:pPr>
              <w:ind w:right="173"/>
              <w:jc w:val="both"/>
              <w:rPr>
                <w:b/>
                <w:sz w:val="20"/>
                <w:szCs w:val="20"/>
              </w:rPr>
            </w:pPr>
            <w:r w:rsidRPr="000B0935">
              <w:rPr>
                <w:b/>
                <w:sz w:val="20"/>
                <w:szCs w:val="20"/>
              </w:rPr>
              <w:t>21.</w:t>
            </w:r>
          </w:p>
        </w:tc>
        <w:tc>
          <w:tcPr>
            <w:tcW w:w="990" w:type="dxa"/>
            <w:shd w:val="clear" w:color="auto" w:fill="auto"/>
          </w:tcPr>
          <w:p w14:paraId="46987FE5" w14:textId="1410D5C1" w:rsidR="006835AF" w:rsidRPr="000B0935" w:rsidRDefault="006835AF" w:rsidP="007667D0">
            <w:pPr>
              <w:jc w:val="both"/>
              <w:rPr>
                <w:b/>
                <w:sz w:val="20"/>
                <w:szCs w:val="20"/>
              </w:rPr>
            </w:pPr>
            <w:r w:rsidRPr="000B0935">
              <w:rPr>
                <w:b/>
                <w:sz w:val="20"/>
                <w:szCs w:val="20"/>
              </w:rPr>
              <w:t>Art. 16</w:t>
            </w:r>
          </w:p>
        </w:tc>
        <w:tc>
          <w:tcPr>
            <w:tcW w:w="3398" w:type="dxa"/>
            <w:shd w:val="clear" w:color="auto" w:fill="auto"/>
          </w:tcPr>
          <w:p w14:paraId="636F49E8" w14:textId="0B661DE9" w:rsidR="006835AF" w:rsidRPr="000B0935" w:rsidRDefault="006835AF" w:rsidP="007667D0">
            <w:pPr>
              <w:autoSpaceDE w:val="0"/>
              <w:autoSpaceDN w:val="0"/>
              <w:adjustRightInd w:val="0"/>
              <w:jc w:val="both"/>
              <w:rPr>
                <w:sz w:val="20"/>
                <w:szCs w:val="20"/>
              </w:rPr>
            </w:pPr>
            <w:r w:rsidRPr="000B0935">
              <w:rPr>
                <w:sz w:val="20"/>
                <w:szCs w:val="20"/>
              </w:rPr>
              <w:t>Obywatele Unii i obywatele Zjednoczonego Królestwa oraz członkowie ich rodzin, którzy przed zakończeniem okresu przejściowego legalnie zamieszkiwali w państwie przyjmującym zgodnie z warunkami określonymi w art. 7 dyrektywy 2004/38/WE przez okres krótszy niż 5 lat, mają prawo do nabycia prawa stałego pobytu na warunkach określonych w art. 15 niniejszej Umowy po osiągnięciu wymaganego okresu pobytu. Okresy legalnego pobytu lub pracy zgodnie z prawem Unii, przypadające na czas przed zakończeniem okresu przejściowego i po nim, wlicza się do wymaganego okresu uprawniającego do nabycia prawa stałego pobytu.</w:t>
            </w:r>
          </w:p>
        </w:tc>
        <w:tc>
          <w:tcPr>
            <w:tcW w:w="993" w:type="dxa"/>
            <w:shd w:val="clear" w:color="auto" w:fill="auto"/>
          </w:tcPr>
          <w:p w14:paraId="3F7341B1" w14:textId="68BCF17B" w:rsidR="006835AF" w:rsidRPr="000B0935" w:rsidRDefault="006835AF" w:rsidP="007667D0">
            <w:pPr>
              <w:jc w:val="both"/>
              <w:rPr>
                <w:b/>
                <w:sz w:val="20"/>
                <w:szCs w:val="20"/>
              </w:rPr>
            </w:pPr>
            <w:r w:rsidRPr="000B0935">
              <w:rPr>
                <w:b/>
                <w:sz w:val="20"/>
                <w:szCs w:val="20"/>
              </w:rPr>
              <w:t>T</w:t>
            </w:r>
          </w:p>
        </w:tc>
        <w:tc>
          <w:tcPr>
            <w:tcW w:w="1426" w:type="dxa"/>
            <w:shd w:val="clear" w:color="auto" w:fill="auto"/>
          </w:tcPr>
          <w:p w14:paraId="43ABF92B" w14:textId="6BA17DAA" w:rsidR="00B02F4F" w:rsidRPr="000B0935" w:rsidRDefault="00B02F4F" w:rsidP="007667D0">
            <w:pPr>
              <w:jc w:val="both"/>
              <w:rPr>
                <w:sz w:val="20"/>
                <w:szCs w:val="20"/>
              </w:rPr>
            </w:pPr>
          </w:p>
        </w:tc>
        <w:tc>
          <w:tcPr>
            <w:tcW w:w="3401" w:type="dxa"/>
            <w:shd w:val="clear" w:color="auto" w:fill="auto"/>
          </w:tcPr>
          <w:p w14:paraId="3782C69B" w14:textId="5E57DC0B"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2F09F5F0" w14:textId="77777777" w:rsidR="006835AF" w:rsidRPr="000B0935" w:rsidRDefault="006835AF" w:rsidP="007667D0">
            <w:pPr>
              <w:jc w:val="both"/>
              <w:rPr>
                <w:sz w:val="20"/>
                <w:szCs w:val="20"/>
              </w:rPr>
            </w:pPr>
          </w:p>
        </w:tc>
      </w:tr>
      <w:tr w:rsidR="000B0935" w:rsidRPr="000B0935" w14:paraId="6C799F9B" w14:textId="77777777" w:rsidTr="00F50767">
        <w:trPr>
          <w:trHeight w:val="570"/>
        </w:trPr>
        <w:tc>
          <w:tcPr>
            <w:tcW w:w="14170" w:type="dxa"/>
            <w:gridSpan w:val="7"/>
            <w:shd w:val="clear" w:color="auto" w:fill="auto"/>
          </w:tcPr>
          <w:p w14:paraId="4B35DD5A" w14:textId="2D5EE3A3" w:rsidR="006835AF" w:rsidRPr="000B0935" w:rsidRDefault="006835AF" w:rsidP="007667D0">
            <w:pPr>
              <w:jc w:val="both"/>
              <w:rPr>
                <w:sz w:val="20"/>
                <w:szCs w:val="20"/>
              </w:rPr>
            </w:pPr>
          </w:p>
        </w:tc>
      </w:tr>
      <w:tr w:rsidR="000B0935" w:rsidRPr="000B0935" w14:paraId="73780646" w14:textId="77777777" w:rsidTr="005E6C13">
        <w:trPr>
          <w:trHeight w:val="570"/>
        </w:trPr>
        <w:tc>
          <w:tcPr>
            <w:tcW w:w="682" w:type="dxa"/>
            <w:shd w:val="clear" w:color="auto" w:fill="auto"/>
          </w:tcPr>
          <w:p w14:paraId="10ECFC51" w14:textId="1BC30BE7" w:rsidR="006835AF" w:rsidRPr="000B0935" w:rsidRDefault="006835AF" w:rsidP="007667D0">
            <w:pPr>
              <w:ind w:right="173"/>
              <w:jc w:val="both"/>
              <w:rPr>
                <w:b/>
                <w:sz w:val="20"/>
                <w:szCs w:val="20"/>
              </w:rPr>
            </w:pPr>
            <w:r w:rsidRPr="000B0935">
              <w:rPr>
                <w:b/>
                <w:sz w:val="20"/>
                <w:szCs w:val="20"/>
              </w:rPr>
              <w:t>22.</w:t>
            </w:r>
          </w:p>
        </w:tc>
        <w:tc>
          <w:tcPr>
            <w:tcW w:w="990" w:type="dxa"/>
            <w:shd w:val="clear" w:color="auto" w:fill="auto"/>
          </w:tcPr>
          <w:p w14:paraId="6E985E67" w14:textId="39DC3AA7" w:rsidR="006835AF" w:rsidRPr="000B0935" w:rsidRDefault="006835AF" w:rsidP="007667D0">
            <w:pPr>
              <w:jc w:val="both"/>
              <w:rPr>
                <w:b/>
                <w:sz w:val="20"/>
                <w:szCs w:val="20"/>
              </w:rPr>
            </w:pPr>
            <w:r w:rsidRPr="000B0935">
              <w:rPr>
                <w:b/>
                <w:sz w:val="20"/>
                <w:szCs w:val="20"/>
              </w:rPr>
              <w:t xml:space="preserve">Art. 17 ust. 1 </w:t>
            </w:r>
          </w:p>
        </w:tc>
        <w:tc>
          <w:tcPr>
            <w:tcW w:w="3398" w:type="dxa"/>
            <w:shd w:val="clear" w:color="auto" w:fill="auto"/>
          </w:tcPr>
          <w:p w14:paraId="666A9159" w14:textId="2ECF6263" w:rsidR="006835AF" w:rsidRPr="000B0935" w:rsidRDefault="006835AF" w:rsidP="007667D0">
            <w:pPr>
              <w:autoSpaceDE w:val="0"/>
              <w:autoSpaceDN w:val="0"/>
              <w:adjustRightInd w:val="0"/>
              <w:jc w:val="both"/>
              <w:rPr>
                <w:sz w:val="20"/>
                <w:szCs w:val="20"/>
              </w:rPr>
            </w:pPr>
            <w:r w:rsidRPr="000B0935">
              <w:rPr>
                <w:sz w:val="20"/>
                <w:szCs w:val="20"/>
              </w:rPr>
              <w:t xml:space="preserve">1.Na prawo obywateli Unii i obywateli Zjednoczonego Królestwa oraz członków ich rodzin do powoływania się bezpośrednio na postanowienia zawarte w niniejszej części nie wpływa zmiana statusu, na przykład zmiany między statusami studenta, pracownika, osoby pracującej na własny rachunek czy biernej zawodowo. Osoby, które w dniu zakończenia okresu przejściowego korzystają z prawa pobytu jako członkowie rodziny obywateli Unii lub </w:t>
            </w:r>
            <w:r w:rsidRPr="000B0935">
              <w:rPr>
                <w:sz w:val="20"/>
                <w:szCs w:val="20"/>
              </w:rPr>
              <w:lastRenderedPageBreak/>
              <w:t xml:space="preserve">obywateli Zjednoczonego Królestwa, nie mogą stać się osobami, o których mowa w art. 10 ust. 1 lit. a)–d). </w:t>
            </w:r>
          </w:p>
        </w:tc>
        <w:tc>
          <w:tcPr>
            <w:tcW w:w="993" w:type="dxa"/>
            <w:shd w:val="clear" w:color="auto" w:fill="auto"/>
          </w:tcPr>
          <w:p w14:paraId="2156EDF5" w14:textId="5B6672E3" w:rsidR="006835AF" w:rsidRPr="000B0935" w:rsidRDefault="006835AF" w:rsidP="007667D0">
            <w:pPr>
              <w:jc w:val="both"/>
              <w:rPr>
                <w:b/>
                <w:sz w:val="20"/>
                <w:szCs w:val="20"/>
              </w:rPr>
            </w:pPr>
            <w:r w:rsidRPr="000B0935">
              <w:rPr>
                <w:b/>
                <w:sz w:val="20"/>
                <w:szCs w:val="20"/>
              </w:rPr>
              <w:lastRenderedPageBreak/>
              <w:t>T</w:t>
            </w:r>
          </w:p>
        </w:tc>
        <w:tc>
          <w:tcPr>
            <w:tcW w:w="1426" w:type="dxa"/>
            <w:shd w:val="clear" w:color="auto" w:fill="auto"/>
          </w:tcPr>
          <w:p w14:paraId="1EF395B1" w14:textId="06E8170B" w:rsidR="00B02F4F" w:rsidRPr="000B0935" w:rsidRDefault="00B02F4F" w:rsidP="007667D0">
            <w:pPr>
              <w:jc w:val="both"/>
              <w:rPr>
                <w:sz w:val="20"/>
                <w:szCs w:val="20"/>
              </w:rPr>
            </w:pPr>
          </w:p>
        </w:tc>
        <w:tc>
          <w:tcPr>
            <w:tcW w:w="3401" w:type="dxa"/>
            <w:shd w:val="clear" w:color="auto" w:fill="auto"/>
          </w:tcPr>
          <w:p w14:paraId="01C257EF" w14:textId="2C4FA7E0" w:rsidR="00657B21" w:rsidRPr="000B0935" w:rsidRDefault="00657B21"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17B41AE2" w14:textId="77777777" w:rsidR="006835AF" w:rsidRPr="000B0935" w:rsidRDefault="006835AF" w:rsidP="007667D0">
            <w:pPr>
              <w:jc w:val="both"/>
              <w:rPr>
                <w:sz w:val="20"/>
                <w:szCs w:val="20"/>
              </w:rPr>
            </w:pPr>
          </w:p>
        </w:tc>
      </w:tr>
      <w:tr w:rsidR="000B0935" w:rsidRPr="000B0935" w14:paraId="693BA4F9" w14:textId="77777777" w:rsidTr="005E6C13">
        <w:trPr>
          <w:trHeight w:val="570"/>
        </w:trPr>
        <w:tc>
          <w:tcPr>
            <w:tcW w:w="682" w:type="dxa"/>
            <w:shd w:val="clear" w:color="auto" w:fill="auto"/>
          </w:tcPr>
          <w:p w14:paraId="5E95A8C8" w14:textId="01B165FE" w:rsidR="006835AF" w:rsidRPr="000B0935" w:rsidRDefault="006835AF" w:rsidP="007667D0">
            <w:pPr>
              <w:ind w:right="173"/>
              <w:jc w:val="both"/>
              <w:rPr>
                <w:b/>
                <w:sz w:val="20"/>
                <w:szCs w:val="20"/>
              </w:rPr>
            </w:pPr>
            <w:r w:rsidRPr="000B0935">
              <w:rPr>
                <w:b/>
                <w:sz w:val="20"/>
                <w:szCs w:val="20"/>
              </w:rPr>
              <w:t>23.</w:t>
            </w:r>
          </w:p>
        </w:tc>
        <w:tc>
          <w:tcPr>
            <w:tcW w:w="990" w:type="dxa"/>
            <w:shd w:val="clear" w:color="auto" w:fill="auto"/>
          </w:tcPr>
          <w:p w14:paraId="2E78FC84" w14:textId="5C83EB39" w:rsidR="006835AF" w:rsidRPr="000B0935" w:rsidRDefault="006835AF" w:rsidP="007667D0">
            <w:pPr>
              <w:jc w:val="both"/>
              <w:rPr>
                <w:b/>
                <w:sz w:val="20"/>
                <w:szCs w:val="20"/>
              </w:rPr>
            </w:pPr>
            <w:r w:rsidRPr="000B0935">
              <w:rPr>
                <w:b/>
                <w:sz w:val="20"/>
                <w:szCs w:val="20"/>
              </w:rPr>
              <w:t xml:space="preserve">Art. 17 ust. 2 </w:t>
            </w:r>
          </w:p>
        </w:tc>
        <w:tc>
          <w:tcPr>
            <w:tcW w:w="3398" w:type="dxa"/>
            <w:shd w:val="clear" w:color="auto" w:fill="auto"/>
          </w:tcPr>
          <w:p w14:paraId="727C1118" w14:textId="64FE4934" w:rsidR="006835AF" w:rsidRPr="000B0935" w:rsidRDefault="006835AF" w:rsidP="007667D0">
            <w:pPr>
              <w:autoSpaceDE w:val="0"/>
              <w:autoSpaceDN w:val="0"/>
              <w:adjustRightInd w:val="0"/>
              <w:jc w:val="both"/>
              <w:rPr>
                <w:sz w:val="20"/>
                <w:szCs w:val="20"/>
              </w:rPr>
            </w:pPr>
            <w:r w:rsidRPr="000B0935">
              <w:rPr>
                <w:sz w:val="20"/>
                <w:szCs w:val="20"/>
              </w:rPr>
              <w:t>2.Prawa przewidziane w niniejszym tytule, przysługujące członkom rodziny pozostającym na utrzymaniu obywateli Unii lub obywateli Zjednoczonego Królestwa przed zakończeniem okresu przejściowego, zostają zachowane nawet wówczas, gdy osoby te przestają być osobami pozostającymi na utrzymaniu.</w:t>
            </w:r>
          </w:p>
        </w:tc>
        <w:tc>
          <w:tcPr>
            <w:tcW w:w="993" w:type="dxa"/>
            <w:shd w:val="clear" w:color="auto" w:fill="auto"/>
          </w:tcPr>
          <w:p w14:paraId="1CA8A7F4" w14:textId="6096087E" w:rsidR="006835AF" w:rsidRPr="000B0935" w:rsidRDefault="00657B21" w:rsidP="007667D0">
            <w:pPr>
              <w:jc w:val="both"/>
              <w:rPr>
                <w:b/>
                <w:sz w:val="20"/>
                <w:szCs w:val="20"/>
              </w:rPr>
            </w:pPr>
            <w:r w:rsidRPr="000B0935">
              <w:rPr>
                <w:b/>
                <w:sz w:val="20"/>
                <w:szCs w:val="20"/>
              </w:rPr>
              <w:t>T</w:t>
            </w:r>
          </w:p>
        </w:tc>
        <w:tc>
          <w:tcPr>
            <w:tcW w:w="1426" w:type="dxa"/>
            <w:shd w:val="clear" w:color="auto" w:fill="auto"/>
          </w:tcPr>
          <w:p w14:paraId="0D3FF437" w14:textId="7DE0BCD2" w:rsidR="006835AF" w:rsidRPr="000B0935" w:rsidRDefault="006835AF" w:rsidP="007667D0">
            <w:pPr>
              <w:jc w:val="both"/>
              <w:rPr>
                <w:sz w:val="20"/>
                <w:szCs w:val="20"/>
              </w:rPr>
            </w:pPr>
          </w:p>
        </w:tc>
        <w:tc>
          <w:tcPr>
            <w:tcW w:w="3401" w:type="dxa"/>
            <w:shd w:val="clear" w:color="auto" w:fill="auto"/>
          </w:tcPr>
          <w:p w14:paraId="69889AC6" w14:textId="10C8AC3C"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38A691FF" w14:textId="77777777" w:rsidR="006835AF" w:rsidRPr="000B0935" w:rsidRDefault="006835AF" w:rsidP="007667D0">
            <w:pPr>
              <w:jc w:val="both"/>
              <w:rPr>
                <w:sz w:val="20"/>
                <w:szCs w:val="20"/>
              </w:rPr>
            </w:pPr>
          </w:p>
        </w:tc>
      </w:tr>
      <w:tr w:rsidR="000B0935" w:rsidRPr="000B0935" w14:paraId="08726032" w14:textId="77777777" w:rsidTr="00F50767">
        <w:trPr>
          <w:trHeight w:val="570"/>
        </w:trPr>
        <w:tc>
          <w:tcPr>
            <w:tcW w:w="14170" w:type="dxa"/>
            <w:gridSpan w:val="7"/>
            <w:shd w:val="clear" w:color="auto" w:fill="auto"/>
          </w:tcPr>
          <w:p w14:paraId="41A8EBFF" w14:textId="7D8425DA" w:rsidR="006835AF" w:rsidRPr="000B0935" w:rsidRDefault="006835AF" w:rsidP="007667D0">
            <w:pPr>
              <w:jc w:val="both"/>
              <w:rPr>
                <w:b/>
                <w:sz w:val="20"/>
                <w:szCs w:val="20"/>
              </w:rPr>
            </w:pPr>
          </w:p>
        </w:tc>
      </w:tr>
      <w:tr w:rsidR="000B0935" w:rsidRPr="000B0935" w14:paraId="308F0F2A" w14:textId="77777777" w:rsidTr="005E6C13">
        <w:trPr>
          <w:trHeight w:val="570"/>
        </w:trPr>
        <w:tc>
          <w:tcPr>
            <w:tcW w:w="682" w:type="dxa"/>
            <w:shd w:val="clear" w:color="auto" w:fill="auto"/>
          </w:tcPr>
          <w:p w14:paraId="26E10760" w14:textId="3D80DFCB" w:rsidR="006835AF" w:rsidRPr="000B0935" w:rsidRDefault="006835AF" w:rsidP="007667D0">
            <w:pPr>
              <w:ind w:right="173"/>
              <w:jc w:val="both"/>
              <w:rPr>
                <w:b/>
                <w:sz w:val="20"/>
                <w:szCs w:val="20"/>
              </w:rPr>
            </w:pPr>
            <w:r w:rsidRPr="000B0935">
              <w:rPr>
                <w:b/>
                <w:sz w:val="20"/>
                <w:szCs w:val="20"/>
              </w:rPr>
              <w:t xml:space="preserve">24. </w:t>
            </w:r>
          </w:p>
        </w:tc>
        <w:tc>
          <w:tcPr>
            <w:tcW w:w="990" w:type="dxa"/>
            <w:shd w:val="clear" w:color="auto" w:fill="auto"/>
          </w:tcPr>
          <w:p w14:paraId="21E4C3F8" w14:textId="2FDDB037" w:rsidR="006835AF" w:rsidRPr="000B0935" w:rsidRDefault="006835AF" w:rsidP="007667D0">
            <w:pPr>
              <w:jc w:val="both"/>
              <w:rPr>
                <w:b/>
                <w:sz w:val="20"/>
                <w:szCs w:val="20"/>
              </w:rPr>
            </w:pPr>
            <w:r w:rsidRPr="000B0935">
              <w:rPr>
                <w:b/>
                <w:sz w:val="20"/>
                <w:szCs w:val="20"/>
              </w:rPr>
              <w:t>Art. 18 ust. 1</w:t>
            </w:r>
          </w:p>
        </w:tc>
        <w:tc>
          <w:tcPr>
            <w:tcW w:w="3398" w:type="dxa"/>
            <w:shd w:val="clear" w:color="auto" w:fill="auto"/>
          </w:tcPr>
          <w:p w14:paraId="306C1157" w14:textId="77777777" w:rsidR="006835AF" w:rsidRPr="000B0935" w:rsidRDefault="006835AF" w:rsidP="007667D0">
            <w:pPr>
              <w:autoSpaceDE w:val="0"/>
              <w:autoSpaceDN w:val="0"/>
              <w:adjustRightInd w:val="0"/>
              <w:jc w:val="both"/>
              <w:rPr>
                <w:sz w:val="20"/>
                <w:szCs w:val="20"/>
              </w:rPr>
            </w:pPr>
            <w:r w:rsidRPr="000B0935">
              <w:rPr>
                <w:sz w:val="20"/>
                <w:szCs w:val="20"/>
              </w:rPr>
              <w:t xml:space="preserve">1.Państwo przyjmujące może nałożyć na obywateli Unii lub obywateli Zjednoczonego Królestwa, członków ich rodzin oraz inne osoby, które zamieszkują na jego terytorium zgodnie z warunkami określonymi w niniejszym tytule, obowiązek wystąpienia z wnioskiem o nowy status pobytu nadający prawa na podstawie niniejszego tytułu oraz o wydanie dokumentu, który może mieć formę elektroniczną, poświadczającego taki status. Ubieganie się o taki status pobytu podlega następującym warunkom: a) celem takiego postępowania jest sprawdzenie, czy wnioskodawca jest uprawniony do prawa pobytu przewidzianego w niniejszym tytule. W przypadku stwierdzenia, że tak jest, wnioskodawca ma prawo uzyskania statusu pobytu i dokumentu poświadczającego ten status; b) termin składania wniosków przez osoby zamieszkujące w państwie </w:t>
            </w:r>
            <w:r w:rsidRPr="000B0935">
              <w:rPr>
                <w:sz w:val="20"/>
                <w:szCs w:val="20"/>
              </w:rPr>
              <w:lastRenderedPageBreak/>
              <w:t xml:space="preserve">przyjmującym przed zakończeniem okresu przejściowego nie może być krótszy niż 6 miesięcy od daty zakończenia okresu przejściowego. Termin składania wniosków przez osoby, które mają prawo do rozpoczęcia pobytu w państwie przyjmującym po zakończeniu okresu przejściowego zgodnie z niniejszym tytułem, wynosi 3 miesiące od ich przybycia do tego państwa przyjmującego lub przypada na datę upływu terminu, o którym mowa w akapicie pierwszym, w zależności od tego, która z tych dat jest późniejsza. Zaświadczenie o złożeniu wniosku o status pobytu wydaje się niezwłocznie; c) termin składania wniosków, o którym mowa w lit. b), przedłuża się automatycznie o rok, jeżeli Unia powiadomiła Zjednoczone Królestwo lub Zjednoczone Królestwo powiadomiło Unię, że problemy techniczne uniemożliwiają państwu przyjmującemu zarejestrowanie wniosku albo wydanie zaświadczenia o złożeniu wniosku, o którym mowa w lit. b). Państwo przyjmujące publikuje to powiadomienie i w odpowiednim czasie udostępnia zainteresowanym osobom właściwe informacje publiczne; d) w przypadku niezachowania przez zainteresowane osoby terminu złożenia wniosku, o którym mowa w lit. b), właściwe organy oceniają wszystkie okoliczności i przyczyny niezachowania terminu i w przypadku uzasadnionych powodów jego niezachowania umożliwiają tym osobom złożenie wniosku w rozsądnym </w:t>
            </w:r>
            <w:r w:rsidRPr="000B0935">
              <w:rPr>
                <w:sz w:val="20"/>
                <w:szCs w:val="20"/>
              </w:rPr>
              <w:lastRenderedPageBreak/>
              <w:t xml:space="preserve">późniejszym terminie; e) państwo przyjmujące zapewnia, aby postępowania administracyjne dotyczące wniosków przebiegały bez zakłóceń i były przejrzyste i proste oraz aby unikano niepotrzebnych obciążeń administracyjnych; f) formularze wniosków muszą być krótkie, proste, przyjazne dla użytkownika i dostosowane do kontekstu niniejszej Umowy; wnioski składane przez rodziny w tym samym czasie rozpatruje się łącznie; g) dokumenty poświadczające status pobytu wydaje się nieodpłatnie lub za opłatą nieprzekraczającą wysokości opłat pobieranych od obywateli państwa przyjmującego za wydanie podobnych dokumentów; h) osoby, które przed zakończeniem okresu przejściowego posiadały ważny dokument stałego pobytu wydany na podstawie art. 19 lub 20 dyrektywy 2004/38/WE lub ważny krajowy dokument imigracyjny nadający prawo stałego pobytu w państwie przyjmującym, mają prawo do wymiany tego dokumentu w terminie, o którym mowa w lit. b) niniejszego ustępu, na nowy dokumentu pobytu, na wniosek i po sprawdzeniu ich tożsamości, kontroli karalności i kontroli bezpieczeństwa zgodnie z lit. p) niniejszego ustępu oraz potwierdzeniu ciągłości pobytu; takie nowe dokumenty pobytu wydaje się nieodpłatnie; i) weryfikacja tożsamości wnioskodawców odbywa się na podstawie ważnego paszportu lub krajowego dokumentu tożsamości w </w:t>
            </w:r>
            <w:r w:rsidRPr="000B0935">
              <w:rPr>
                <w:sz w:val="20"/>
                <w:szCs w:val="20"/>
              </w:rPr>
              <w:lastRenderedPageBreak/>
              <w:t xml:space="preserve">przypadku obywateli Unii i obywateli Zjednoczonego Królestwa oraz na podstawie ważnego paszportu w przypadku członków ich rodzin i innych osób, które nie są obywatelami Unii ani Zjednoczonego Królestwa; przyjęcie takich dokumentów tożsamości nie jest uzależnione od jakichkolwiek innych kryteriów poza ważnością dokumentu. Jeżeli właściwe organy państwa przyjmującego zatrzymują dokument tożsamości w czasie rozpatrywania wniosku, państwo przyjmujące niezwłocznie zwraca ten dokument na wniosek osoby zainteresowanej, przed podjęciem decyzji w sprawie wniosku; j) dokumenty potwierdzające inne niż dokumenty tożsamości, takie jak dokumenty dotyczące stanu cywilnego, można przedkładać w postaci kopii. Oryginały dokumentów potwierdzających mogą być wymagane tylko w szczególnych przypadkach, w których istnieją uzasadnione wątpliwości co do autentyczności przedłożonych dokumentów potwierdzających; k) oprócz dokumentów tożsamości, o których mowa w lit. i) niniejszego ustępu, państwo przyjmujące może jedynie wymagać od obywateli Unii i obywateli Zjednoczonego Królestwa przedłożenia następujących dokumentów potwierdzających, o których mowa w art. 8 ust. 3 dyrektywy 2004/38/WE: (i) jeżeli zamieszkują w państwie przyjmującym zgodnie z art. 7 ust. 1 lit. a) dyrektywy 2004/38/WE jako pracownicy lub osoby pracujące na </w:t>
            </w:r>
            <w:r w:rsidRPr="000B0935">
              <w:rPr>
                <w:sz w:val="20"/>
                <w:szCs w:val="20"/>
              </w:rPr>
              <w:lastRenderedPageBreak/>
              <w:t xml:space="preserve">własny rachunek – potwierdzenia zatrudnienia od pracodawcy lub zaświadczenia o zatrudnieniu, bądź dowodu, że pracują na własny rachunek; </w:t>
            </w:r>
          </w:p>
          <w:p w14:paraId="2704FE72" w14:textId="77777777" w:rsidR="006835AF" w:rsidRPr="000B0935" w:rsidRDefault="006835AF" w:rsidP="007667D0">
            <w:pPr>
              <w:autoSpaceDE w:val="0"/>
              <w:autoSpaceDN w:val="0"/>
              <w:adjustRightInd w:val="0"/>
              <w:jc w:val="both"/>
              <w:rPr>
                <w:sz w:val="20"/>
                <w:szCs w:val="20"/>
              </w:rPr>
            </w:pPr>
            <w:r w:rsidRPr="000B0935">
              <w:rPr>
                <w:sz w:val="20"/>
                <w:szCs w:val="20"/>
              </w:rPr>
              <w:t xml:space="preserve">(ii) jeżeli zamieszkują w państwie przyjmującym zgodnie z art. 7 ust. 1 lit. b) dyrektywy 2004/38/WE jako osoby bierne zawodowo – dowodów, że posiadają wystarczające zasoby dla siebie i członków ich rodziny, aby nie stanowić obciążenia dla systemu pomocy społecznej państwa przyjmującego w okresie pobytu, oraz są objęci pełnym ubezpieczeniem zdrowotnym w państwie przyjmującym; lub (iii) jeżeli zamieszkują w państwie przyjmującym zgodnie z art. 7 ust. 1 lit. c) dyrektywy 2004/38/WE jako uczniowie lub studenci – dowodu, że są zapisani do instytucji akredytowanej lub finansowanej przez państwo przyjmujące na podstawie przepisów prawnych lub praktyki administracyjnej tego państwa, dowodu, że są objęci pełnym ubezpieczeniem zdrowotnym, oraz oświadczenia lub innego równoważnego środka, że posiadają wystarczające zasoby dla siebie i członków rodziny, aby nie stanowić obciążenia dla systemu pomocy społecznej państwa przyjmującego w okresie ich pobytu. Państwo przyjmujące nie może wymagać, aby oświadczenie to zawierało określoną kwotę zasobów. W odniesieniu do warunków posiadania wystarczających zasobów zastosowanie ma art. 8 ust. 4 </w:t>
            </w:r>
            <w:r w:rsidRPr="000B0935">
              <w:rPr>
                <w:sz w:val="20"/>
                <w:szCs w:val="20"/>
              </w:rPr>
              <w:lastRenderedPageBreak/>
              <w:t xml:space="preserve">dyrektywy 2004/38/WE; l) oprócz dokumentów tożsamości, o których mowa w </w:t>
            </w:r>
            <w:proofErr w:type="spellStart"/>
            <w:r w:rsidRPr="000B0935">
              <w:rPr>
                <w:sz w:val="20"/>
                <w:szCs w:val="20"/>
              </w:rPr>
              <w:t>ppkt</w:t>
            </w:r>
            <w:proofErr w:type="spellEnd"/>
            <w:r w:rsidRPr="000B0935">
              <w:rPr>
                <w:sz w:val="20"/>
                <w:szCs w:val="20"/>
              </w:rPr>
              <w:t xml:space="preserve"> (i) niniejszego ustępu, państwo przyjmujące może jedynie wymagać od członków rodziny objętych art. 10 ust. 1 lit. e) pkt (i) lub art. 10 ust. 2 lub 3 niniejszej Umowy, którzy zamieszkują w państwie przyjmującym zgodnie z art. 7 ust. 1 lit. d) lub art. 7 ust. 2 dyrektywy 2004/38/WE, przedłożenia następujących dokumentów potwierdzających, o których mowa w art. 8 ust. 5 lub art. 10 ust. 2 dyrektywy 2004/38/WE: (i) dokumentu poświadczającego istnienie więzi rodzinnych lub zarejestrowanego związku; (ii) zaświadczenia o rejestracji, a w przypadku braku systemu rejestracji –innego dokumentu potwierdzającego, że obywatel Unii lub obywatel Zjednoczonego Królestwa, z którym zamieszkują, faktycznie zamieszkuje w państwie przyjmującym; (iii) w przypadku zstępnych poniżej 21 roku życia lub pozostających na utrzymaniu oraz w przypadku wstępnych pozostających na utrzymaniu, a także w przypadku gdy osoby takie są zstępnymi lub wstępnymi współmałżonka lub zarejestrowanego partnera – dowodu w postaci dokumentu, że spełnione są warunki określone w art. 2 ust. 2 lit. c) lub d) dyrektywy 2004/38/WE; (iv) w przypadku osób, o których mowa w art. 10 ust. 2 lub 3 niniejszej Umowy – dokumentu wydanego przez odpowiedni organ w państwie </w:t>
            </w:r>
            <w:r w:rsidRPr="000B0935">
              <w:rPr>
                <w:sz w:val="20"/>
                <w:szCs w:val="20"/>
              </w:rPr>
              <w:lastRenderedPageBreak/>
              <w:t xml:space="preserve">przyjmującym zgodnie z art. 3 ust. 2 dyrektywy 2004/38/WE. W odniesieniu do warunku posiadania wystarczających zasobów dla członków rodziny, którzy sami są obywatelami Unii lub obywatelami Zjednoczonego Królestwa, zastosowanie ma art. 8 ust. 4 dyrektywy 2004/38/WE; m) oprócz dokumentów tożsamości, o których mowa w lit. i) niniejszego ustępu, państwo przyjmujące może jedynie wymagać od członków rodziny objętych art. 10 ust. 1 lit. e) pkt (ii) lub art. 10 ust. 4 niniejszej Umowy przedłożenia następujących dokumentów potwierdzających, o których mowa w art. 8 ust. 5 lub art. 10 ust. 2 dyrektywy 2004/38/WE: (i) dokumentu poświadczającego istnienie więzi rodzinnych lub zarejestrowanego związku; (ii) zaświadczenia o rejestracji, a w przypadku braku systemu rejestracji –innego dokumentu potwierdzającego pobyt w państwie przyjmującym obywatela Unii lub obywatela Zjednoczonego Królestwa, do którego dołączają w państwie przyjmującym; (iii) w przypadku współmałżonków lub zarejestrowanych partnerów – dokumentu potwierdzającego istnienie więzi rodzinnej lub zarejestrowanego związku partnerskiego przed zakończeniem okresu przejściowego; (iv) w przypadku zstępnych poniżej 21 roku życia lub pozostających na utrzymaniu oraz w przypadku wstępnych pozostających na utrzymaniu, a także w przypadku gdy </w:t>
            </w:r>
            <w:r w:rsidRPr="000B0935">
              <w:rPr>
                <w:sz w:val="20"/>
                <w:szCs w:val="20"/>
              </w:rPr>
              <w:lastRenderedPageBreak/>
              <w:t>osoby takie są zstępnymi lub wstępnymi współmałżonka lub zarejestrowanego partnera – dowodu w postaci dokumentu, że osoby te były spokrewnione z obywatelem Unii lub obywatelem Zjednoczonego Królestwa przed zakończeniem okresu przejściowego oraz że spełniają warunki określone w art. 2 ust. 2 lit. c) lub d) dyrektywy 2004/38/WE odnoszące się do wieku lub pozostawania na utrzymaniu; (v) w przypadku osób, o których mowa w art. 10 ust. 4 niniejszej Umowy – dowodu istnienia stałego związku z obywatelem Unii lub obywatelem Zjednoczonego Królestwa przed zakończeniem okresu przejściowego oraz trwania tego związku po zakończeniu okresu przejściowego; n) w przypadkach innych niż określone w lit. k), l) i m) państwo przyjmujące nie wymaga od wnioskodawców przedłożenia dokumentów potwierdzających innych niż takie, których wymaganie jest absolutnie niezbędne i proporcjonalne w celu wykazania, że spełnione są warunki dotyczące prawa pobytu na podstawie niniejszego tytułu; o) właściwe organy państwa przyjmującego pomagają wnioskodawcom wykazać, że spełniają wymagane warunki, oraz zapobiec błędom lub brakom w ich wnioskach; zapewniają one wnioskodawcom możliwość przedłożenia dodatkowych dowodów oraz skorygowania wszelkich niedociągnięć, błędów lub braków;</w:t>
            </w:r>
          </w:p>
          <w:p w14:paraId="63E204E6" w14:textId="77777777" w:rsidR="006835AF" w:rsidRPr="000B0935" w:rsidRDefault="006835AF" w:rsidP="007667D0">
            <w:pPr>
              <w:autoSpaceDE w:val="0"/>
              <w:autoSpaceDN w:val="0"/>
              <w:adjustRightInd w:val="0"/>
              <w:jc w:val="both"/>
              <w:rPr>
                <w:sz w:val="20"/>
                <w:szCs w:val="20"/>
              </w:rPr>
            </w:pPr>
            <w:r w:rsidRPr="000B0935">
              <w:rPr>
                <w:sz w:val="20"/>
                <w:szCs w:val="20"/>
              </w:rPr>
              <w:lastRenderedPageBreak/>
              <w:t xml:space="preserve"> p) kontrole karalności i bezpieczeństwa dotyczące wnioskodawców można przeprowadzać systematycznie wyłącznie w celu sprawdzenia, czy mogą mieć zastosowanie ograniczenia określone w art. 20 niniejszej Umowy. W tym celu od wnioskodawców można wymagać złożenia oświadczenia w sprawie wyroków skazujących za przestępstwo, odnotowanych w rejestrze karnym zgodnie z prawem państwa skazującego, w czasie składania wniosku. Państwo przyjmujące może, jeżeli uzna to za konieczne, zastosować procedurę określoną w art. 27 ust. 3 dyrektywy 2004/38/WE w odniesieniu do kierowanych do innych państw zapytań o informacje na temat wcześniejszych przypadków notowań w rejestrach karnych; </w:t>
            </w:r>
          </w:p>
          <w:p w14:paraId="6F952EEC" w14:textId="77777777" w:rsidR="006835AF" w:rsidRPr="000B0935" w:rsidRDefault="006835AF" w:rsidP="007667D0">
            <w:pPr>
              <w:autoSpaceDE w:val="0"/>
              <w:autoSpaceDN w:val="0"/>
              <w:adjustRightInd w:val="0"/>
              <w:jc w:val="both"/>
              <w:rPr>
                <w:sz w:val="20"/>
                <w:szCs w:val="20"/>
              </w:rPr>
            </w:pPr>
            <w:r w:rsidRPr="000B0935">
              <w:rPr>
                <w:sz w:val="20"/>
                <w:szCs w:val="20"/>
              </w:rPr>
              <w:t xml:space="preserve">q) nowy dokument pobytu zawiera oświadczenie, że został wydany zgodnie z niniejszą Umową; </w:t>
            </w:r>
          </w:p>
          <w:p w14:paraId="603ECF9E" w14:textId="0DBEE649" w:rsidR="006835AF" w:rsidRPr="000B0935" w:rsidRDefault="006835AF" w:rsidP="007667D0">
            <w:pPr>
              <w:autoSpaceDE w:val="0"/>
              <w:autoSpaceDN w:val="0"/>
              <w:adjustRightInd w:val="0"/>
              <w:jc w:val="both"/>
              <w:rPr>
                <w:sz w:val="20"/>
                <w:szCs w:val="20"/>
              </w:rPr>
            </w:pPr>
            <w:r w:rsidRPr="000B0935">
              <w:rPr>
                <w:sz w:val="20"/>
                <w:szCs w:val="20"/>
              </w:rPr>
              <w:t>r) od decyzji o odmowie nadania statusu pobytu wnioskodawcy przysługuje w państwie przyjmującym środek odwoławczy przed sądem, a w stosownych przypadkach przed organem administracyjnym. Procedury odwoławcze umożliwiają zbadanie zgodności z prawem decyzji oraz stanu faktycznego i okoliczności, na których opiera się kwestionowana decyzja. Takie procedury odwoławcze zapewniają, aby decyzja nie była nieproporcjonalna.</w:t>
            </w:r>
          </w:p>
        </w:tc>
        <w:tc>
          <w:tcPr>
            <w:tcW w:w="993" w:type="dxa"/>
            <w:shd w:val="clear" w:color="auto" w:fill="auto"/>
          </w:tcPr>
          <w:p w14:paraId="64AFC806" w14:textId="66A31D3A" w:rsidR="006835AF" w:rsidRPr="000B0935" w:rsidRDefault="00D90814" w:rsidP="007667D0">
            <w:pPr>
              <w:jc w:val="both"/>
              <w:rPr>
                <w:b/>
                <w:sz w:val="20"/>
                <w:szCs w:val="20"/>
              </w:rPr>
            </w:pPr>
            <w:r w:rsidRPr="000B0935">
              <w:rPr>
                <w:b/>
                <w:sz w:val="20"/>
                <w:szCs w:val="20"/>
              </w:rPr>
              <w:lastRenderedPageBreak/>
              <w:t>N</w:t>
            </w:r>
          </w:p>
        </w:tc>
        <w:tc>
          <w:tcPr>
            <w:tcW w:w="1426" w:type="dxa"/>
            <w:shd w:val="clear" w:color="auto" w:fill="auto"/>
          </w:tcPr>
          <w:p w14:paraId="26657EA1" w14:textId="77777777" w:rsidR="006835AF" w:rsidRPr="000B0935" w:rsidRDefault="006835AF" w:rsidP="007667D0">
            <w:pPr>
              <w:jc w:val="both"/>
              <w:rPr>
                <w:sz w:val="20"/>
                <w:szCs w:val="20"/>
              </w:rPr>
            </w:pPr>
          </w:p>
        </w:tc>
        <w:tc>
          <w:tcPr>
            <w:tcW w:w="3401" w:type="dxa"/>
            <w:shd w:val="clear" w:color="auto" w:fill="auto"/>
          </w:tcPr>
          <w:p w14:paraId="39EC2617" w14:textId="73C83FAE"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53F67262" w14:textId="51AD14E7" w:rsidR="006835AF" w:rsidRPr="000B0935" w:rsidRDefault="006835AF" w:rsidP="007667D0">
            <w:pPr>
              <w:jc w:val="both"/>
              <w:rPr>
                <w:sz w:val="20"/>
                <w:szCs w:val="20"/>
              </w:rPr>
            </w:pPr>
          </w:p>
        </w:tc>
      </w:tr>
      <w:tr w:rsidR="000B0935" w:rsidRPr="000B0935" w14:paraId="7567FA03" w14:textId="77777777" w:rsidTr="005E6C13">
        <w:trPr>
          <w:trHeight w:val="570"/>
        </w:trPr>
        <w:tc>
          <w:tcPr>
            <w:tcW w:w="682" w:type="dxa"/>
            <w:shd w:val="clear" w:color="auto" w:fill="auto"/>
          </w:tcPr>
          <w:p w14:paraId="6DC5DE83" w14:textId="785FF580" w:rsidR="006835AF" w:rsidRPr="000B0935" w:rsidRDefault="006835AF" w:rsidP="007667D0">
            <w:pPr>
              <w:ind w:right="173"/>
              <w:jc w:val="both"/>
              <w:rPr>
                <w:b/>
                <w:sz w:val="20"/>
                <w:szCs w:val="20"/>
              </w:rPr>
            </w:pPr>
            <w:r w:rsidRPr="000B0935">
              <w:rPr>
                <w:b/>
                <w:sz w:val="20"/>
                <w:szCs w:val="20"/>
              </w:rPr>
              <w:lastRenderedPageBreak/>
              <w:t>25.</w:t>
            </w:r>
          </w:p>
        </w:tc>
        <w:tc>
          <w:tcPr>
            <w:tcW w:w="990" w:type="dxa"/>
            <w:shd w:val="clear" w:color="auto" w:fill="auto"/>
          </w:tcPr>
          <w:p w14:paraId="5AF626D3" w14:textId="24F4F088" w:rsidR="006835AF" w:rsidRPr="000B0935" w:rsidRDefault="006835AF" w:rsidP="007667D0">
            <w:pPr>
              <w:jc w:val="both"/>
              <w:rPr>
                <w:b/>
                <w:sz w:val="20"/>
                <w:szCs w:val="20"/>
              </w:rPr>
            </w:pPr>
            <w:r w:rsidRPr="000B0935">
              <w:rPr>
                <w:b/>
                <w:sz w:val="20"/>
                <w:szCs w:val="20"/>
              </w:rPr>
              <w:t>Art. 18 ust. 2</w:t>
            </w:r>
          </w:p>
        </w:tc>
        <w:tc>
          <w:tcPr>
            <w:tcW w:w="3398" w:type="dxa"/>
            <w:shd w:val="clear" w:color="auto" w:fill="auto"/>
          </w:tcPr>
          <w:p w14:paraId="303C4166" w14:textId="140C0012" w:rsidR="006835AF" w:rsidRPr="000B0935" w:rsidRDefault="006835AF" w:rsidP="007667D0">
            <w:pPr>
              <w:autoSpaceDE w:val="0"/>
              <w:autoSpaceDN w:val="0"/>
              <w:adjustRightInd w:val="0"/>
              <w:jc w:val="both"/>
              <w:rPr>
                <w:sz w:val="20"/>
                <w:szCs w:val="20"/>
              </w:rPr>
            </w:pPr>
            <w:r w:rsidRPr="000B0935">
              <w:rPr>
                <w:sz w:val="20"/>
                <w:szCs w:val="20"/>
              </w:rPr>
              <w:t>2.W okresie, o którym mowa w ust. 1 lit. b) niniejszego artykułu, oraz podczas jego ewentualnego przedłużenia o rok na podstawie lit. c) tego ustępu wszystkie prawa przewidziane w niniejszej części uznaje się za mające zastosowanie do obywateli Unii lub obywateli Zjednoczonego Królestwa, członków ich rodzin oraz innych osób zamieszkujących w państwie przyjmującym zgodnie z warunkami i ograniczeniami określonymi w art. 20.</w:t>
            </w:r>
          </w:p>
        </w:tc>
        <w:tc>
          <w:tcPr>
            <w:tcW w:w="993" w:type="dxa"/>
            <w:shd w:val="clear" w:color="auto" w:fill="auto"/>
          </w:tcPr>
          <w:p w14:paraId="12A5AA3E" w14:textId="5DCC3DF3" w:rsidR="006835AF" w:rsidRPr="000B0935" w:rsidRDefault="00D90814" w:rsidP="007667D0">
            <w:pPr>
              <w:jc w:val="both"/>
              <w:rPr>
                <w:b/>
                <w:sz w:val="20"/>
                <w:szCs w:val="20"/>
              </w:rPr>
            </w:pPr>
            <w:r w:rsidRPr="000B0935">
              <w:rPr>
                <w:b/>
                <w:sz w:val="20"/>
                <w:szCs w:val="20"/>
              </w:rPr>
              <w:t>N</w:t>
            </w:r>
          </w:p>
        </w:tc>
        <w:tc>
          <w:tcPr>
            <w:tcW w:w="1426" w:type="dxa"/>
            <w:shd w:val="clear" w:color="auto" w:fill="auto"/>
          </w:tcPr>
          <w:p w14:paraId="7880CB3C" w14:textId="77777777" w:rsidR="006835AF" w:rsidRPr="000B0935" w:rsidRDefault="006835AF" w:rsidP="007667D0">
            <w:pPr>
              <w:jc w:val="both"/>
              <w:rPr>
                <w:sz w:val="20"/>
                <w:szCs w:val="20"/>
              </w:rPr>
            </w:pPr>
          </w:p>
        </w:tc>
        <w:tc>
          <w:tcPr>
            <w:tcW w:w="3401" w:type="dxa"/>
            <w:shd w:val="clear" w:color="auto" w:fill="auto"/>
          </w:tcPr>
          <w:p w14:paraId="0001BE47" w14:textId="77777777"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5DED5879" w14:textId="7807D3BB" w:rsidR="006835AF" w:rsidRPr="000B0935" w:rsidRDefault="006835AF" w:rsidP="007667D0">
            <w:pPr>
              <w:jc w:val="both"/>
              <w:rPr>
                <w:sz w:val="20"/>
                <w:szCs w:val="20"/>
              </w:rPr>
            </w:pPr>
          </w:p>
        </w:tc>
      </w:tr>
      <w:tr w:rsidR="000B0935" w:rsidRPr="000B0935" w14:paraId="50C7CC3C" w14:textId="77777777" w:rsidTr="005E6C13">
        <w:trPr>
          <w:trHeight w:val="570"/>
        </w:trPr>
        <w:tc>
          <w:tcPr>
            <w:tcW w:w="682" w:type="dxa"/>
            <w:shd w:val="clear" w:color="auto" w:fill="auto"/>
          </w:tcPr>
          <w:p w14:paraId="30EF4DE9" w14:textId="58EAD08B" w:rsidR="006835AF" w:rsidRPr="000B0935" w:rsidRDefault="006835AF" w:rsidP="007667D0">
            <w:pPr>
              <w:ind w:right="173"/>
              <w:jc w:val="both"/>
              <w:rPr>
                <w:b/>
                <w:sz w:val="20"/>
                <w:szCs w:val="20"/>
              </w:rPr>
            </w:pPr>
            <w:r w:rsidRPr="000B0935">
              <w:rPr>
                <w:b/>
                <w:sz w:val="20"/>
                <w:szCs w:val="20"/>
              </w:rPr>
              <w:t>26.</w:t>
            </w:r>
          </w:p>
        </w:tc>
        <w:tc>
          <w:tcPr>
            <w:tcW w:w="990" w:type="dxa"/>
            <w:shd w:val="clear" w:color="auto" w:fill="auto"/>
          </w:tcPr>
          <w:p w14:paraId="678CB131" w14:textId="55316D44" w:rsidR="006835AF" w:rsidRPr="000B0935" w:rsidRDefault="006835AF" w:rsidP="007667D0">
            <w:pPr>
              <w:jc w:val="both"/>
              <w:rPr>
                <w:b/>
                <w:sz w:val="20"/>
                <w:szCs w:val="20"/>
              </w:rPr>
            </w:pPr>
            <w:r w:rsidRPr="000B0935">
              <w:rPr>
                <w:b/>
                <w:sz w:val="20"/>
                <w:szCs w:val="20"/>
              </w:rPr>
              <w:t>Art. 18 ust. 3</w:t>
            </w:r>
          </w:p>
        </w:tc>
        <w:tc>
          <w:tcPr>
            <w:tcW w:w="3398" w:type="dxa"/>
            <w:shd w:val="clear" w:color="auto" w:fill="auto"/>
          </w:tcPr>
          <w:p w14:paraId="1B76A4EE" w14:textId="0309EBE3" w:rsidR="006835AF" w:rsidRPr="000B0935" w:rsidRDefault="006835AF" w:rsidP="007667D0">
            <w:pPr>
              <w:autoSpaceDE w:val="0"/>
              <w:autoSpaceDN w:val="0"/>
              <w:adjustRightInd w:val="0"/>
              <w:jc w:val="both"/>
              <w:rPr>
                <w:sz w:val="20"/>
                <w:szCs w:val="20"/>
              </w:rPr>
            </w:pPr>
            <w:r w:rsidRPr="000B0935">
              <w:rPr>
                <w:sz w:val="20"/>
                <w:szCs w:val="20"/>
              </w:rPr>
              <w:t>3.Do chwili podjęcia przez właściwe organy ostatecznej decyzji w sprawie wniosku, o którym mowa w ust. 1, oraz do chwili wydania orzeczenia sądowego kończącego postępowanie w sprawie środka odwoławczego od odmownego rozpatrzenia takiego wniosku przez właściwy organ administracyjny wszystkie prawa przewidziane w niniejszej części uznaje się za mające zastosowanie do wnioskodawcy, w tym art. 21 dotyczący zabezpieczeń proceduralnych i prawa do odwołania, z zastrzeżeniem warunków określonych w art. 20 ust. 4.</w:t>
            </w:r>
          </w:p>
        </w:tc>
        <w:tc>
          <w:tcPr>
            <w:tcW w:w="993" w:type="dxa"/>
            <w:shd w:val="clear" w:color="auto" w:fill="auto"/>
          </w:tcPr>
          <w:p w14:paraId="31A2092A" w14:textId="73F609B5" w:rsidR="006835AF" w:rsidRPr="000B0935" w:rsidRDefault="00D90814" w:rsidP="007667D0">
            <w:pPr>
              <w:jc w:val="both"/>
              <w:rPr>
                <w:b/>
                <w:sz w:val="20"/>
                <w:szCs w:val="20"/>
              </w:rPr>
            </w:pPr>
            <w:r w:rsidRPr="000B0935">
              <w:rPr>
                <w:b/>
                <w:sz w:val="20"/>
                <w:szCs w:val="20"/>
              </w:rPr>
              <w:t>N</w:t>
            </w:r>
          </w:p>
        </w:tc>
        <w:tc>
          <w:tcPr>
            <w:tcW w:w="1426" w:type="dxa"/>
            <w:shd w:val="clear" w:color="auto" w:fill="auto"/>
          </w:tcPr>
          <w:p w14:paraId="0A8A2783" w14:textId="421C5B0D" w:rsidR="006835AF" w:rsidRPr="000B0935" w:rsidRDefault="006835AF" w:rsidP="007667D0">
            <w:pPr>
              <w:jc w:val="both"/>
              <w:rPr>
                <w:sz w:val="20"/>
                <w:szCs w:val="20"/>
              </w:rPr>
            </w:pPr>
          </w:p>
        </w:tc>
        <w:tc>
          <w:tcPr>
            <w:tcW w:w="3401" w:type="dxa"/>
            <w:shd w:val="clear" w:color="auto" w:fill="auto"/>
          </w:tcPr>
          <w:p w14:paraId="750E6F04" w14:textId="1BB9CDE4" w:rsidR="006835AF" w:rsidRPr="000B0935" w:rsidRDefault="006835AF" w:rsidP="007667D0">
            <w:pPr>
              <w:autoSpaceDE w:val="0"/>
              <w:autoSpaceDN w:val="0"/>
              <w:adjustRightInd w:val="0"/>
              <w:jc w:val="both"/>
              <w:rPr>
                <w:sz w:val="20"/>
                <w:szCs w:val="20"/>
              </w:rPr>
            </w:pPr>
          </w:p>
        </w:tc>
        <w:tc>
          <w:tcPr>
            <w:tcW w:w="3280" w:type="dxa"/>
            <w:shd w:val="clear" w:color="auto" w:fill="auto"/>
          </w:tcPr>
          <w:p w14:paraId="45C5CFF5" w14:textId="5F52A9C3" w:rsidR="006835AF" w:rsidRPr="000B0935" w:rsidRDefault="006835AF" w:rsidP="007667D0">
            <w:pPr>
              <w:jc w:val="both"/>
              <w:rPr>
                <w:sz w:val="20"/>
                <w:szCs w:val="20"/>
              </w:rPr>
            </w:pPr>
          </w:p>
        </w:tc>
      </w:tr>
      <w:tr w:rsidR="000B0935" w:rsidRPr="000B0935" w14:paraId="34AEB4EA" w14:textId="77777777" w:rsidTr="005E6C13">
        <w:trPr>
          <w:trHeight w:val="570"/>
        </w:trPr>
        <w:tc>
          <w:tcPr>
            <w:tcW w:w="682" w:type="dxa"/>
            <w:shd w:val="clear" w:color="auto" w:fill="auto"/>
          </w:tcPr>
          <w:p w14:paraId="1BF2F8A9" w14:textId="34FA6740" w:rsidR="006835AF" w:rsidRPr="000B0935" w:rsidRDefault="006835AF" w:rsidP="007667D0">
            <w:pPr>
              <w:ind w:right="173"/>
              <w:jc w:val="both"/>
              <w:rPr>
                <w:b/>
                <w:sz w:val="20"/>
                <w:szCs w:val="20"/>
              </w:rPr>
            </w:pPr>
            <w:r w:rsidRPr="000B0935">
              <w:rPr>
                <w:b/>
                <w:sz w:val="20"/>
                <w:szCs w:val="20"/>
              </w:rPr>
              <w:t>27.</w:t>
            </w:r>
          </w:p>
        </w:tc>
        <w:tc>
          <w:tcPr>
            <w:tcW w:w="990" w:type="dxa"/>
            <w:shd w:val="clear" w:color="auto" w:fill="auto"/>
          </w:tcPr>
          <w:p w14:paraId="533A1D39" w14:textId="48E3D928" w:rsidR="006835AF" w:rsidRPr="000B0935" w:rsidRDefault="006835AF" w:rsidP="007667D0">
            <w:pPr>
              <w:jc w:val="both"/>
              <w:rPr>
                <w:b/>
                <w:sz w:val="20"/>
                <w:szCs w:val="20"/>
              </w:rPr>
            </w:pPr>
            <w:r w:rsidRPr="000B0935">
              <w:rPr>
                <w:b/>
                <w:sz w:val="20"/>
                <w:szCs w:val="20"/>
              </w:rPr>
              <w:t>Art. 18 ust. 4</w:t>
            </w:r>
          </w:p>
        </w:tc>
        <w:tc>
          <w:tcPr>
            <w:tcW w:w="3398" w:type="dxa"/>
            <w:shd w:val="clear" w:color="auto" w:fill="auto"/>
          </w:tcPr>
          <w:p w14:paraId="777FE587" w14:textId="47A857EF" w:rsidR="006835AF" w:rsidRPr="000B0935" w:rsidRDefault="006835AF" w:rsidP="007667D0">
            <w:pPr>
              <w:autoSpaceDE w:val="0"/>
              <w:autoSpaceDN w:val="0"/>
              <w:adjustRightInd w:val="0"/>
              <w:jc w:val="both"/>
              <w:rPr>
                <w:sz w:val="20"/>
                <w:szCs w:val="20"/>
              </w:rPr>
            </w:pPr>
            <w:r w:rsidRPr="000B0935">
              <w:rPr>
                <w:sz w:val="20"/>
                <w:szCs w:val="20"/>
              </w:rPr>
              <w:t xml:space="preserve">4.W przypadku gdy państwo przyjmujące zdecyduje, że nie będzie nakładać na obywateli Unii lub obywateli Zjednoczonego Królestwa, członków ich rodzin oraz innych osób, zamieszkujących na terytorium państwa przyjmującego zgodnie z warunkami określonymi w niniejszym tytule, obowiązku wystąpienia z wnioskiem o nowy status pobytu, o którym mowa w ust. 1, jako warunku legalnego pobytu, osoby kwalifikujące się do prawa </w:t>
            </w:r>
            <w:r w:rsidRPr="000B0935">
              <w:rPr>
                <w:sz w:val="20"/>
                <w:szCs w:val="20"/>
              </w:rPr>
              <w:lastRenderedPageBreak/>
              <w:t>pobytu na podstawie niniejszego tytułu mają prawo do otrzymania zgodnie z warunkami określonymi w dyrektywie 2004/38/WE dokumentu pobytu, który może mieć formę elektroniczną, zawierającego oświadczenie, że został wydany zgodnie z niniejszą Umową.</w:t>
            </w:r>
          </w:p>
        </w:tc>
        <w:tc>
          <w:tcPr>
            <w:tcW w:w="993" w:type="dxa"/>
            <w:shd w:val="clear" w:color="auto" w:fill="auto"/>
          </w:tcPr>
          <w:p w14:paraId="00955360" w14:textId="4BAE48AD" w:rsidR="006835AF" w:rsidRPr="000B0935" w:rsidRDefault="00D90814" w:rsidP="007667D0">
            <w:pPr>
              <w:jc w:val="both"/>
              <w:rPr>
                <w:b/>
                <w:sz w:val="20"/>
                <w:szCs w:val="20"/>
              </w:rPr>
            </w:pPr>
            <w:r w:rsidRPr="000B0935">
              <w:rPr>
                <w:b/>
                <w:sz w:val="20"/>
                <w:szCs w:val="20"/>
              </w:rPr>
              <w:lastRenderedPageBreak/>
              <w:t>T</w:t>
            </w:r>
          </w:p>
        </w:tc>
        <w:tc>
          <w:tcPr>
            <w:tcW w:w="1426" w:type="dxa"/>
            <w:shd w:val="clear" w:color="auto" w:fill="auto"/>
          </w:tcPr>
          <w:p w14:paraId="7BAC2991" w14:textId="31537704" w:rsidR="006835AF" w:rsidRPr="000B0935" w:rsidRDefault="006835AF" w:rsidP="007667D0">
            <w:pPr>
              <w:jc w:val="both"/>
              <w:rPr>
                <w:sz w:val="20"/>
                <w:szCs w:val="20"/>
              </w:rPr>
            </w:pPr>
          </w:p>
        </w:tc>
        <w:tc>
          <w:tcPr>
            <w:tcW w:w="3401" w:type="dxa"/>
            <w:shd w:val="clear" w:color="auto" w:fill="auto"/>
          </w:tcPr>
          <w:p w14:paraId="16C39983" w14:textId="01478F5C"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68E502F1" w14:textId="60DB690A" w:rsidR="006835AF" w:rsidRPr="000B0935" w:rsidRDefault="006835AF" w:rsidP="007667D0">
            <w:pPr>
              <w:jc w:val="both"/>
              <w:rPr>
                <w:sz w:val="20"/>
                <w:szCs w:val="20"/>
              </w:rPr>
            </w:pPr>
          </w:p>
        </w:tc>
      </w:tr>
      <w:tr w:rsidR="000B0935" w:rsidRPr="000B0935" w14:paraId="3666E4D0" w14:textId="77777777" w:rsidTr="00F50767">
        <w:trPr>
          <w:trHeight w:val="570"/>
        </w:trPr>
        <w:tc>
          <w:tcPr>
            <w:tcW w:w="14170" w:type="dxa"/>
            <w:gridSpan w:val="7"/>
            <w:shd w:val="clear" w:color="auto" w:fill="auto"/>
          </w:tcPr>
          <w:p w14:paraId="12E355FF" w14:textId="6A09AFF1" w:rsidR="006835AF" w:rsidRPr="000B0935" w:rsidRDefault="006835AF" w:rsidP="007667D0">
            <w:pPr>
              <w:jc w:val="both"/>
              <w:rPr>
                <w:sz w:val="20"/>
                <w:szCs w:val="20"/>
              </w:rPr>
            </w:pPr>
          </w:p>
        </w:tc>
      </w:tr>
      <w:tr w:rsidR="000B0935" w:rsidRPr="000B0935" w14:paraId="0E257C46" w14:textId="77777777" w:rsidTr="005E6C13">
        <w:trPr>
          <w:trHeight w:val="570"/>
        </w:trPr>
        <w:tc>
          <w:tcPr>
            <w:tcW w:w="682" w:type="dxa"/>
            <w:shd w:val="clear" w:color="auto" w:fill="auto"/>
          </w:tcPr>
          <w:p w14:paraId="2464DCDA" w14:textId="7F974BAC" w:rsidR="006835AF" w:rsidRPr="000B0935" w:rsidRDefault="006835AF" w:rsidP="007667D0">
            <w:pPr>
              <w:ind w:right="173"/>
              <w:jc w:val="both"/>
              <w:rPr>
                <w:b/>
                <w:sz w:val="20"/>
                <w:szCs w:val="20"/>
              </w:rPr>
            </w:pPr>
            <w:r w:rsidRPr="000B0935">
              <w:rPr>
                <w:b/>
                <w:sz w:val="20"/>
                <w:szCs w:val="20"/>
              </w:rPr>
              <w:t>28.</w:t>
            </w:r>
          </w:p>
        </w:tc>
        <w:tc>
          <w:tcPr>
            <w:tcW w:w="990" w:type="dxa"/>
            <w:shd w:val="clear" w:color="auto" w:fill="auto"/>
          </w:tcPr>
          <w:p w14:paraId="4C795024" w14:textId="0DF311A5" w:rsidR="006835AF" w:rsidRPr="000B0935" w:rsidRDefault="006835AF" w:rsidP="007667D0">
            <w:pPr>
              <w:jc w:val="both"/>
              <w:rPr>
                <w:b/>
                <w:sz w:val="20"/>
                <w:szCs w:val="20"/>
              </w:rPr>
            </w:pPr>
            <w:r w:rsidRPr="000B0935">
              <w:rPr>
                <w:b/>
                <w:sz w:val="20"/>
                <w:szCs w:val="20"/>
              </w:rPr>
              <w:t>Art. 19 ust. 1</w:t>
            </w:r>
          </w:p>
        </w:tc>
        <w:tc>
          <w:tcPr>
            <w:tcW w:w="3398" w:type="dxa"/>
            <w:shd w:val="clear" w:color="auto" w:fill="auto"/>
          </w:tcPr>
          <w:p w14:paraId="650450B7" w14:textId="2D191DB7" w:rsidR="006835AF" w:rsidRPr="000B0935" w:rsidRDefault="006835AF" w:rsidP="007667D0">
            <w:pPr>
              <w:autoSpaceDE w:val="0"/>
              <w:autoSpaceDN w:val="0"/>
              <w:adjustRightInd w:val="0"/>
              <w:jc w:val="both"/>
              <w:rPr>
                <w:sz w:val="20"/>
                <w:szCs w:val="20"/>
              </w:rPr>
            </w:pPr>
            <w:r w:rsidRPr="000B0935">
              <w:rPr>
                <w:sz w:val="20"/>
                <w:szCs w:val="20"/>
              </w:rPr>
              <w:t xml:space="preserve">1.W okresie przejściowym państwo przyjmujące może umożliwić dobrowolne składanie wniosków o status pobytu lub dokument pobytu, o których mowa w art. 18 ust. 1 i 4, od daty wejścia w życie niniejszej Umowy. </w:t>
            </w:r>
          </w:p>
        </w:tc>
        <w:tc>
          <w:tcPr>
            <w:tcW w:w="993" w:type="dxa"/>
            <w:shd w:val="clear" w:color="auto" w:fill="auto"/>
          </w:tcPr>
          <w:p w14:paraId="71995BF0" w14:textId="31E70108" w:rsidR="006835AF" w:rsidRPr="000B0935" w:rsidRDefault="00D90814" w:rsidP="007667D0">
            <w:pPr>
              <w:jc w:val="both"/>
              <w:rPr>
                <w:b/>
                <w:sz w:val="20"/>
                <w:szCs w:val="20"/>
              </w:rPr>
            </w:pPr>
            <w:r w:rsidRPr="000B0935">
              <w:rPr>
                <w:b/>
                <w:sz w:val="20"/>
                <w:szCs w:val="20"/>
              </w:rPr>
              <w:t>N</w:t>
            </w:r>
          </w:p>
        </w:tc>
        <w:tc>
          <w:tcPr>
            <w:tcW w:w="1426" w:type="dxa"/>
            <w:shd w:val="clear" w:color="auto" w:fill="auto"/>
          </w:tcPr>
          <w:p w14:paraId="4E905A47" w14:textId="77777777" w:rsidR="006835AF" w:rsidRPr="000B0935" w:rsidRDefault="006835AF" w:rsidP="007667D0">
            <w:pPr>
              <w:jc w:val="both"/>
              <w:rPr>
                <w:sz w:val="20"/>
                <w:szCs w:val="20"/>
              </w:rPr>
            </w:pPr>
          </w:p>
        </w:tc>
        <w:tc>
          <w:tcPr>
            <w:tcW w:w="3401" w:type="dxa"/>
            <w:shd w:val="clear" w:color="auto" w:fill="auto"/>
          </w:tcPr>
          <w:p w14:paraId="12E44836" w14:textId="2AB19816"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203E3935" w14:textId="10AF8D94" w:rsidR="006835AF" w:rsidRPr="000B0935" w:rsidRDefault="006835AF" w:rsidP="007667D0">
            <w:pPr>
              <w:jc w:val="both"/>
              <w:rPr>
                <w:sz w:val="20"/>
                <w:szCs w:val="20"/>
              </w:rPr>
            </w:pPr>
          </w:p>
        </w:tc>
      </w:tr>
      <w:tr w:rsidR="000B0935" w:rsidRPr="000B0935" w14:paraId="29A0E15E" w14:textId="77777777" w:rsidTr="005E6C13">
        <w:trPr>
          <w:trHeight w:val="570"/>
        </w:trPr>
        <w:tc>
          <w:tcPr>
            <w:tcW w:w="682" w:type="dxa"/>
            <w:shd w:val="clear" w:color="auto" w:fill="auto"/>
          </w:tcPr>
          <w:p w14:paraId="4F1D50FC" w14:textId="71C47D56" w:rsidR="006835AF" w:rsidRPr="000B0935" w:rsidRDefault="006835AF" w:rsidP="007667D0">
            <w:pPr>
              <w:ind w:right="173"/>
              <w:jc w:val="both"/>
              <w:rPr>
                <w:b/>
                <w:sz w:val="20"/>
                <w:szCs w:val="20"/>
              </w:rPr>
            </w:pPr>
            <w:r w:rsidRPr="000B0935">
              <w:rPr>
                <w:b/>
                <w:sz w:val="20"/>
                <w:szCs w:val="20"/>
              </w:rPr>
              <w:t>29.</w:t>
            </w:r>
          </w:p>
        </w:tc>
        <w:tc>
          <w:tcPr>
            <w:tcW w:w="990" w:type="dxa"/>
            <w:shd w:val="clear" w:color="auto" w:fill="auto"/>
          </w:tcPr>
          <w:p w14:paraId="32B8BF4B" w14:textId="31713251" w:rsidR="006835AF" w:rsidRPr="000B0935" w:rsidRDefault="006835AF" w:rsidP="007667D0">
            <w:pPr>
              <w:jc w:val="both"/>
              <w:rPr>
                <w:b/>
                <w:sz w:val="20"/>
                <w:szCs w:val="20"/>
              </w:rPr>
            </w:pPr>
            <w:r w:rsidRPr="000B0935">
              <w:rPr>
                <w:b/>
                <w:sz w:val="20"/>
                <w:szCs w:val="20"/>
              </w:rPr>
              <w:t xml:space="preserve">Art. 19 ust. 2 </w:t>
            </w:r>
          </w:p>
        </w:tc>
        <w:tc>
          <w:tcPr>
            <w:tcW w:w="3398" w:type="dxa"/>
            <w:shd w:val="clear" w:color="auto" w:fill="auto"/>
          </w:tcPr>
          <w:p w14:paraId="748F81BA" w14:textId="579272DD" w:rsidR="006835AF" w:rsidRPr="000B0935" w:rsidRDefault="006835AF" w:rsidP="007667D0">
            <w:pPr>
              <w:autoSpaceDE w:val="0"/>
              <w:autoSpaceDN w:val="0"/>
              <w:adjustRightInd w:val="0"/>
              <w:jc w:val="both"/>
              <w:rPr>
                <w:sz w:val="20"/>
                <w:szCs w:val="20"/>
              </w:rPr>
            </w:pPr>
            <w:r w:rsidRPr="000B0935">
              <w:rPr>
                <w:sz w:val="20"/>
                <w:szCs w:val="20"/>
              </w:rPr>
              <w:t>2.Decyzje o pozytywnym lub odmownym rozpatrzeniu takich wniosków podejmuje się zgodnie z art. 18 ust. 1 i 4. Decyzje na podstawie art. 18 ust. 1 stają się skuteczne dopiero po zakończeniu okresu przejściowego.</w:t>
            </w:r>
          </w:p>
        </w:tc>
        <w:tc>
          <w:tcPr>
            <w:tcW w:w="993" w:type="dxa"/>
            <w:shd w:val="clear" w:color="auto" w:fill="auto"/>
          </w:tcPr>
          <w:p w14:paraId="4070A279" w14:textId="337CAE60" w:rsidR="006835AF" w:rsidRPr="000B0935" w:rsidRDefault="00B74266" w:rsidP="007667D0">
            <w:pPr>
              <w:jc w:val="both"/>
              <w:rPr>
                <w:b/>
                <w:sz w:val="20"/>
                <w:szCs w:val="20"/>
              </w:rPr>
            </w:pPr>
            <w:r w:rsidRPr="000B0935">
              <w:rPr>
                <w:b/>
                <w:sz w:val="20"/>
                <w:szCs w:val="20"/>
              </w:rPr>
              <w:t>N</w:t>
            </w:r>
          </w:p>
        </w:tc>
        <w:tc>
          <w:tcPr>
            <w:tcW w:w="1426" w:type="dxa"/>
            <w:shd w:val="clear" w:color="auto" w:fill="auto"/>
          </w:tcPr>
          <w:p w14:paraId="056BA44D" w14:textId="77777777" w:rsidR="006835AF" w:rsidRPr="000B0935" w:rsidRDefault="006835AF" w:rsidP="007667D0">
            <w:pPr>
              <w:jc w:val="both"/>
              <w:rPr>
                <w:sz w:val="20"/>
                <w:szCs w:val="20"/>
              </w:rPr>
            </w:pPr>
          </w:p>
        </w:tc>
        <w:tc>
          <w:tcPr>
            <w:tcW w:w="3401" w:type="dxa"/>
            <w:shd w:val="clear" w:color="auto" w:fill="auto"/>
          </w:tcPr>
          <w:p w14:paraId="0D8ACBD5" w14:textId="40013542"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i/>
                <w:sz w:val="20"/>
                <w:szCs w:val="20"/>
              </w:rPr>
            </w:pPr>
          </w:p>
        </w:tc>
        <w:tc>
          <w:tcPr>
            <w:tcW w:w="3280" w:type="dxa"/>
            <w:shd w:val="clear" w:color="auto" w:fill="auto"/>
          </w:tcPr>
          <w:p w14:paraId="20BA6427" w14:textId="39D71A78" w:rsidR="006835AF" w:rsidRPr="000B0935" w:rsidRDefault="006835AF" w:rsidP="007667D0">
            <w:pPr>
              <w:jc w:val="both"/>
              <w:rPr>
                <w:sz w:val="20"/>
                <w:szCs w:val="20"/>
              </w:rPr>
            </w:pPr>
          </w:p>
        </w:tc>
      </w:tr>
      <w:tr w:rsidR="000B0935" w:rsidRPr="000B0935" w14:paraId="151E2A9A" w14:textId="77777777" w:rsidTr="005E6C13">
        <w:trPr>
          <w:trHeight w:val="570"/>
        </w:trPr>
        <w:tc>
          <w:tcPr>
            <w:tcW w:w="682" w:type="dxa"/>
            <w:shd w:val="clear" w:color="auto" w:fill="auto"/>
          </w:tcPr>
          <w:p w14:paraId="1BF2ABA4" w14:textId="5981A7E7" w:rsidR="006835AF" w:rsidRPr="000B0935" w:rsidRDefault="006835AF" w:rsidP="007667D0">
            <w:pPr>
              <w:ind w:right="173"/>
              <w:jc w:val="both"/>
              <w:rPr>
                <w:b/>
                <w:sz w:val="20"/>
                <w:szCs w:val="20"/>
              </w:rPr>
            </w:pPr>
            <w:r w:rsidRPr="000B0935">
              <w:rPr>
                <w:b/>
                <w:sz w:val="20"/>
                <w:szCs w:val="20"/>
              </w:rPr>
              <w:t>30.</w:t>
            </w:r>
          </w:p>
        </w:tc>
        <w:tc>
          <w:tcPr>
            <w:tcW w:w="990" w:type="dxa"/>
            <w:shd w:val="clear" w:color="auto" w:fill="auto"/>
          </w:tcPr>
          <w:p w14:paraId="47AF79E9" w14:textId="3119CF13" w:rsidR="006835AF" w:rsidRPr="000B0935" w:rsidRDefault="006835AF" w:rsidP="007667D0">
            <w:pPr>
              <w:jc w:val="both"/>
              <w:rPr>
                <w:b/>
                <w:sz w:val="20"/>
                <w:szCs w:val="20"/>
              </w:rPr>
            </w:pPr>
            <w:r w:rsidRPr="000B0935">
              <w:rPr>
                <w:b/>
                <w:sz w:val="20"/>
                <w:szCs w:val="20"/>
              </w:rPr>
              <w:t>art. 19 ust. 3</w:t>
            </w:r>
          </w:p>
        </w:tc>
        <w:tc>
          <w:tcPr>
            <w:tcW w:w="3398" w:type="dxa"/>
            <w:shd w:val="clear" w:color="auto" w:fill="auto"/>
          </w:tcPr>
          <w:p w14:paraId="31E4B67D" w14:textId="57B4441B" w:rsidR="006835AF" w:rsidRPr="000B0935" w:rsidRDefault="006835AF" w:rsidP="007667D0">
            <w:pPr>
              <w:autoSpaceDE w:val="0"/>
              <w:autoSpaceDN w:val="0"/>
              <w:adjustRightInd w:val="0"/>
              <w:jc w:val="both"/>
              <w:rPr>
                <w:sz w:val="20"/>
                <w:szCs w:val="20"/>
              </w:rPr>
            </w:pPr>
            <w:r w:rsidRPr="000B0935">
              <w:rPr>
                <w:sz w:val="20"/>
                <w:szCs w:val="20"/>
              </w:rPr>
              <w:t>3.W przypadku pozytywnego rozpatrzenia wniosku na podstawie art. 18 ust. 1 przed zakończeniem okresu przejściowego państwo przyjmujące nie może uchylić decyzji nadającej status pobytu przed zakończeniem okresu przejściowego z przyczyn innych niż określone w rozdziale VI i art. 35 dyrektywy 2004/38/WE.</w:t>
            </w:r>
          </w:p>
        </w:tc>
        <w:tc>
          <w:tcPr>
            <w:tcW w:w="993" w:type="dxa"/>
            <w:shd w:val="clear" w:color="auto" w:fill="auto"/>
          </w:tcPr>
          <w:p w14:paraId="2E39A0E5" w14:textId="40153EE7" w:rsidR="006835AF" w:rsidRPr="000B0935" w:rsidRDefault="00B74266" w:rsidP="007667D0">
            <w:pPr>
              <w:jc w:val="both"/>
              <w:rPr>
                <w:b/>
                <w:sz w:val="20"/>
                <w:szCs w:val="20"/>
              </w:rPr>
            </w:pPr>
            <w:r w:rsidRPr="000B0935">
              <w:rPr>
                <w:b/>
                <w:sz w:val="20"/>
                <w:szCs w:val="20"/>
              </w:rPr>
              <w:t>N</w:t>
            </w:r>
          </w:p>
        </w:tc>
        <w:tc>
          <w:tcPr>
            <w:tcW w:w="1426" w:type="dxa"/>
            <w:shd w:val="clear" w:color="auto" w:fill="auto"/>
          </w:tcPr>
          <w:p w14:paraId="670EFA2C" w14:textId="77777777" w:rsidR="006835AF" w:rsidRPr="000B0935" w:rsidRDefault="006835AF" w:rsidP="007667D0">
            <w:pPr>
              <w:jc w:val="both"/>
              <w:rPr>
                <w:sz w:val="20"/>
                <w:szCs w:val="20"/>
              </w:rPr>
            </w:pPr>
          </w:p>
        </w:tc>
        <w:tc>
          <w:tcPr>
            <w:tcW w:w="3401" w:type="dxa"/>
            <w:shd w:val="clear" w:color="auto" w:fill="auto"/>
          </w:tcPr>
          <w:p w14:paraId="7CFC237E" w14:textId="5551EA90"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6FEA9334" w14:textId="0C1F2DD0" w:rsidR="006835AF" w:rsidRPr="000B0935" w:rsidRDefault="006835AF" w:rsidP="007667D0">
            <w:pPr>
              <w:jc w:val="both"/>
              <w:rPr>
                <w:sz w:val="20"/>
                <w:szCs w:val="20"/>
              </w:rPr>
            </w:pPr>
          </w:p>
        </w:tc>
      </w:tr>
      <w:tr w:rsidR="000B0935" w:rsidRPr="000B0935" w14:paraId="49D0BD99" w14:textId="77777777" w:rsidTr="005E6C13">
        <w:trPr>
          <w:trHeight w:val="570"/>
        </w:trPr>
        <w:tc>
          <w:tcPr>
            <w:tcW w:w="682" w:type="dxa"/>
            <w:shd w:val="clear" w:color="auto" w:fill="auto"/>
          </w:tcPr>
          <w:p w14:paraId="41552166" w14:textId="529D387D" w:rsidR="006835AF" w:rsidRPr="000B0935" w:rsidRDefault="006835AF" w:rsidP="007667D0">
            <w:pPr>
              <w:ind w:right="173"/>
              <w:jc w:val="both"/>
              <w:rPr>
                <w:b/>
                <w:sz w:val="20"/>
                <w:szCs w:val="20"/>
              </w:rPr>
            </w:pPr>
            <w:r w:rsidRPr="000B0935">
              <w:rPr>
                <w:b/>
                <w:sz w:val="20"/>
                <w:szCs w:val="20"/>
              </w:rPr>
              <w:t>31.</w:t>
            </w:r>
          </w:p>
        </w:tc>
        <w:tc>
          <w:tcPr>
            <w:tcW w:w="990" w:type="dxa"/>
            <w:shd w:val="clear" w:color="auto" w:fill="auto"/>
          </w:tcPr>
          <w:p w14:paraId="79EF1C85" w14:textId="24D115F0" w:rsidR="006835AF" w:rsidRPr="000B0935" w:rsidRDefault="006835AF" w:rsidP="007667D0">
            <w:pPr>
              <w:jc w:val="both"/>
              <w:rPr>
                <w:b/>
                <w:sz w:val="20"/>
                <w:szCs w:val="20"/>
              </w:rPr>
            </w:pPr>
            <w:r w:rsidRPr="000B0935">
              <w:rPr>
                <w:b/>
                <w:sz w:val="20"/>
                <w:szCs w:val="20"/>
              </w:rPr>
              <w:t>art. 19 ust. 4</w:t>
            </w:r>
          </w:p>
        </w:tc>
        <w:tc>
          <w:tcPr>
            <w:tcW w:w="3398" w:type="dxa"/>
            <w:shd w:val="clear" w:color="auto" w:fill="auto"/>
          </w:tcPr>
          <w:p w14:paraId="65260BAE" w14:textId="4E6CA8CC" w:rsidR="006835AF" w:rsidRPr="000B0935" w:rsidRDefault="006835AF" w:rsidP="007667D0">
            <w:pPr>
              <w:autoSpaceDE w:val="0"/>
              <w:autoSpaceDN w:val="0"/>
              <w:adjustRightInd w:val="0"/>
              <w:jc w:val="both"/>
              <w:rPr>
                <w:sz w:val="20"/>
                <w:szCs w:val="20"/>
              </w:rPr>
            </w:pPr>
            <w:r w:rsidRPr="000B0935">
              <w:rPr>
                <w:sz w:val="20"/>
                <w:szCs w:val="20"/>
              </w:rPr>
              <w:t>4.W przypadku odmownego rozpatrzenia wniosku przed zakończeniem okresu przejściowego, wnioskodawca może ponownie złożyć wniosek w dowolnej chwili przed upływem terminu określonego w art. 18 ust. 1 lit. b).</w:t>
            </w:r>
          </w:p>
        </w:tc>
        <w:tc>
          <w:tcPr>
            <w:tcW w:w="993" w:type="dxa"/>
            <w:shd w:val="clear" w:color="auto" w:fill="auto"/>
          </w:tcPr>
          <w:p w14:paraId="7F9B0BAB" w14:textId="45FAE95B" w:rsidR="006835AF" w:rsidRPr="000B0935" w:rsidRDefault="00B74266" w:rsidP="007667D0">
            <w:pPr>
              <w:jc w:val="both"/>
              <w:rPr>
                <w:b/>
                <w:sz w:val="20"/>
                <w:szCs w:val="20"/>
              </w:rPr>
            </w:pPr>
            <w:r w:rsidRPr="000B0935">
              <w:rPr>
                <w:b/>
                <w:sz w:val="20"/>
                <w:szCs w:val="20"/>
              </w:rPr>
              <w:t>N</w:t>
            </w:r>
          </w:p>
        </w:tc>
        <w:tc>
          <w:tcPr>
            <w:tcW w:w="1426" w:type="dxa"/>
            <w:shd w:val="clear" w:color="auto" w:fill="auto"/>
          </w:tcPr>
          <w:p w14:paraId="0D8309F2" w14:textId="13319AF8" w:rsidR="006835AF" w:rsidRPr="000B0935" w:rsidRDefault="006835AF" w:rsidP="007667D0">
            <w:pPr>
              <w:jc w:val="both"/>
              <w:rPr>
                <w:sz w:val="20"/>
                <w:szCs w:val="20"/>
              </w:rPr>
            </w:pPr>
          </w:p>
        </w:tc>
        <w:tc>
          <w:tcPr>
            <w:tcW w:w="3401" w:type="dxa"/>
            <w:shd w:val="clear" w:color="auto" w:fill="auto"/>
          </w:tcPr>
          <w:p w14:paraId="7721357E" w14:textId="5DDD707F"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i/>
                <w:sz w:val="20"/>
                <w:szCs w:val="20"/>
              </w:rPr>
            </w:pPr>
          </w:p>
        </w:tc>
        <w:tc>
          <w:tcPr>
            <w:tcW w:w="3280" w:type="dxa"/>
            <w:shd w:val="clear" w:color="auto" w:fill="auto"/>
          </w:tcPr>
          <w:p w14:paraId="500E25E6" w14:textId="232D2B3A" w:rsidR="006835AF" w:rsidRPr="000B0935" w:rsidRDefault="006835AF" w:rsidP="007667D0">
            <w:pPr>
              <w:jc w:val="both"/>
              <w:rPr>
                <w:sz w:val="20"/>
                <w:szCs w:val="20"/>
              </w:rPr>
            </w:pPr>
          </w:p>
        </w:tc>
      </w:tr>
      <w:tr w:rsidR="000B0935" w:rsidRPr="000B0935" w14:paraId="12DF30CE" w14:textId="77777777" w:rsidTr="005E6C13">
        <w:trPr>
          <w:trHeight w:val="570"/>
        </w:trPr>
        <w:tc>
          <w:tcPr>
            <w:tcW w:w="682" w:type="dxa"/>
            <w:shd w:val="clear" w:color="auto" w:fill="auto"/>
          </w:tcPr>
          <w:p w14:paraId="680676A3" w14:textId="1F16BD48" w:rsidR="006835AF" w:rsidRPr="000B0935" w:rsidRDefault="006835AF" w:rsidP="007667D0">
            <w:pPr>
              <w:ind w:right="173"/>
              <w:jc w:val="both"/>
              <w:rPr>
                <w:b/>
                <w:sz w:val="20"/>
                <w:szCs w:val="20"/>
              </w:rPr>
            </w:pPr>
            <w:r w:rsidRPr="000B0935">
              <w:rPr>
                <w:b/>
                <w:sz w:val="20"/>
                <w:szCs w:val="20"/>
              </w:rPr>
              <w:lastRenderedPageBreak/>
              <w:t>32.</w:t>
            </w:r>
          </w:p>
        </w:tc>
        <w:tc>
          <w:tcPr>
            <w:tcW w:w="990" w:type="dxa"/>
            <w:shd w:val="clear" w:color="auto" w:fill="auto"/>
          </w:tcPr>
          <w:p w14:paraId="5B02462C" w14:textId="70AF98EE" w:rsidR="006835AF" w:rsidRPr="000B0935" w:rsidRDefault="006835AF" w:rsidP="007667D0">
            <w:pPr>
              <w:jc w:val="both"/>
              <w:rPr>
                <w:b/>
                <w:sz w:val="20"/>
                <w:szCs w:val="20"/>
              </w:rPr>
            </w:pPr>
            <w:r w:rsidRPr="000B0935">
              <w:rPr>
                <w:b/>
                <w:sz w:val="20"/>
                <w:szCs w:val="20"/>
              </w:rPr>
              <w:t xml:space="preserve">At. 19 ust. 5 </w:t>
            </w:r>
          </w:p>
        </w:tc>
        <w:tc>
          <w:tcPr>
            <w:tcW w:w="3398" w:type="dxa"/>
            <w:shd w:val="clear" w:color="auto" w:fill="auto"/>
          </w:tcPr>
          <w:p w14:paraId="014AE29A" w14:textId="51438940" w:rsidR="006835AF" w:rsidRPr="000B0935" w:rsidRDefault="006835AF" w:rsidP="007667D0">
            <w:pPr>
              <w:autoSpaceDE w:val="0"/>
              <w:autoSpaceDN w:val="0"/>
              <w:adjustRightInd w:val="0"/>
              <w:jc w:val="both"/>
              <w:rPr>
                <w:sz w:val="20"/>
                <w:szCs w:val="20"/>
              </w:rPr>
            </w:pPr>
            <w:r w:rsidRPr="000B0935">
              <w:rPr>
                <w:sz w:val="20"/>
                <w:szCs w:val="20"/>
              </w:rPr>
              <w:t>5.Bez uszczerbku dla ust. 4 procedury odwoławcze na podstawie art. 18 ust. 1 lit. r) są dostępne od dnia wydania decyzji o odmownym rozpatrzeniu wniosku, o której mowa w ust. 2 niniejszego artykułu.</w:t>
            </w:r>
          </w:p>
        </w:tc>
        <w:tc>
          <w:tcPr>
            <w:tcW w:w="993" w:type="dxa"/>
            <w:shd w:val="clear" w:color="auto" w:fill="auto"/>
          </w:tcPr>
          <w:p w14:paraId="30E3CE8A" w14:textId="6A8E9D4C" w:rsidR="006835AF" w:rsidRPr="000B0935" w:rsidRDefault="00B74266" w:rsidP="007667D0">
            <w:pPr>
              <w:jc w:val="both"/>
              <w:rPr>
                <w:b/>
                <w:sz w:val="20"/>
                <w:szCs w:val="20"/>
              </w:rPr>
            </w:pPr>
            <w:r w:rsidRPr="000B0935">
              <w:rPr>
                <w:b/>
                <w:sz w:val="20"/>
                <w:szCs w:val="20"/>
              </w:rPr>
              <w:t>N</w:t>
            </w:r>
          </w:p>
        </w:tc>
        <w:tc>
          <w:tcPr>
            <w:tcW w:w="1426" w:type="dxa"/>
            <w:shd w:val="clear" w:color="auto" w:fill="auto"/>
          </w:tcPr>
          <w:p w14:paraId="347115BA" w14:textId="1C0E586B" w:rsidR="006835AF" w:rsidRPr="000B0935" w:rsidRDefault="006835AF" w:rsidP="007667D0">
            <w:pPr>
              <w:jc w:val="both"/>
              <w:rPr>
                <w:sz w:val="20"/>
                <w:szCs w:val="20"/>
              </w:rPr>
            </w:pPr>
          </w:p>
        </w:tc>
        <w:tc>
          <w:tcPr>
            <w:tcW w:w="3401" w:type="dxa"/>
            <w:shd w:val="clear" w:color="auto" w:fill="auto"/>
          </w:tcPr>
          <w:p w14:paraId="715B4BC2" w14:textId="4BC9E977"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56764919" w14:textId="16E01F6C" w:rsidR="006835AF" w:rsidRPr="000B0935" w:rsidRDefault="006835AF" w:rsidP="007667D0">
            <w:pPr>
              <w:jc w:val="both"/>
              <w:rPr>
                <w:sz w:val="20"/>
                <w:szCs w:val="20"/>
              </w:rPr>
            </w:pPr>
          </w:p>
        </w:tc>
      </w:tr>
      <w:tr w:rsidR="000B0935" w:rsidRPr="000B0935" w14:paraId="125BB6B8" w14:textId="77777777" w:rsidTr="00F50767">
        <w:trPr>
          <w:trHeight w:val="570"/>
        </w:trPr>
        <w:tc>
          <w:tcPr>
            <w:tcW w:w="14170" w:type="dxa"/>
            <w:gridSpan w:val="7"/>
            <w:shd w:val="clear" w:color="auto" w:fill="auto"/>
          </w:tcPr>
          <w:p w14:paraId="3A9F7517" w14:textId="2F22336C" w:rsidR="006835AF" w:rsidRPr="000B0935" w:rsidRDefault="006835AF" w:rsidP="007667D0">
            <w:pPr>
              <w:jc w:val="both"/>
              <w:rPr>
                <w:b/>
                <w:sz w:val="20"/>
                <w:szCs w:val="20"/>
              </w:rPr>
            </w:pPr>
          </w:p>
        </w:tc>
      </w:tr>
      <w:tr w:rsidR="000B0935" w:rsidRPr="000B0935" w14:paraId="2B949C81" w14:textId="77777777" w:rsidTr="005E6C13">
        <w:trPr>
          <w:trHeight w:val="570"/>
        </w:trPr>
        <w:tc>
          <w:tcPr>
            <w:tcW w:w="682" w:type="dxa"/>
            <w:shd w:val="clear" w:color="auto" w:fill="auto"/>
          </w:tcPr>
          <w:p w14:paraId="637D6FA2" w14:textId="4A8A1081" w:rsidR="006835AF" w:rsidRPr="000B0935" w:rsidRDefault="006835AF" w:rsidP="007667D0">
            <w:pPr>
              <w:ind w:right="173"/>
              <w:jc w:val="both"/>
              <w:rPr>
                <w:b/>
                <w:sz w:val="20"/>
                <w:szCs w:val="20"/>
              </w:rPr>
            </w:pPr>
            <w:r w:rsidRPr="000B0935">
              <w:rPr>
                <w:b/>
                <w:sz w:val="20"/>
                <w:szCs w:val="20"/>
              </w:rPr>
              <w:t>33.</w:t>
            </w:r>
          </w:p>
        </w:tc>
        <w:tc>
          <w:tcPr>
            <w:tcW w:w="990" w:type="dxa"/>
            <w:shd w:val="clear" w:color="auto" w:fill="auto"/>
          </w:tcPr>
          <w:p w14:paraId="5E307BEE" w14:textId="717CE09F" w:rsidR="006835AF" w:rsidRPr="000B0935" w:rsidRDefault="00DC494D" w:rsidP="007667D0">
            <w:pPr>
              <w:jc w:val="both"/>
              <w:rPr>
                <w:b/>
                <w:sz w:val="20"/>
                <w:szCs w:val="20"/>
              </w:rPr>
            </w:pPr>
            <w:r w:rsidRPr="000B0935">
              <w:rPr>
                <w:b/>
                <w:sz w:val="20"/>
                <w:szCs w:val="20"/>
              </w:rPr>
              <w:t xml:space="preserve">art. 20 ust. 1 </w:t>
            </w:r>
          </w:p>
        </w:tc>
        <w:tc>
          <w:tcPr>
            <w:tcW w:w="3398" w:type="dxa"/>
            <w:shd w:val="clear" w:color="auto" w:fill="auto"/>
          </w:tcPr>
          <w:p w14:paraId="050F50C0" w14:textId="0B41D185" w:rsidR="006835AF" w:rsidRPr="000B0935" w:rsidRDefault="006835AF" w:rsidP="007667D0">
            <w:pPr>
              <w:autoSpaceDE w:val="0"/>
              <w:autoSpaceDN w:val="0"/>
              <w:adjustRightInd w:val="0"/>
              <w:jc w:val="both"/>
              <w:rPr>
                <w:sz w:val="20"/>
                <w:szCs w:val="20"/>
              </w:rPr>
            </w:pPr>
            <w:r w:rsidRPr="000B0935">
              <w:rPr>
                <w:sz w:val="20"/>
                <w:szCs w:val="20"/>
              </w:rPr>
              <w:t xml:space="preserve">1.Zachowanie obywateli Unii lub obywateli Zjednoczonego Królestwa, członków ich rodzin oraz innych osób, korzystających z praw na podstawie niniejszego tytułu, w przypadku gdy zachowanie to miało miejsce przed zakończeniem okresu przejściowego, rozpatruje się zgodnie z rozdziałem VI dyrektywy 2004/38/WE. </w:t>
            </w:r>
          </w:p>
        </w:tc>
        <w:tc>
          <w:tcPr>
            <w:tcW w:w="993" w:type="dxa"/>
            <w:shd w:val="clear" w:color="auto" w:fill="auto"/>
          </w:tcPr>
          <w:p w14:paraId="37998FD2" w14:textId="354D8B70" w:rsidR="006835AF" w:rsidRPr="000B0935" w:rsidRDefault="00DC494D" w:rsidP="007667D0">
            <w:pPr>
              <w:jc w:val="both"/>
              <w:rPr>
                <w:b/>
                <w:sz w:val="20"/>
                <w:szCs w:val="20"/>
              </w:rPr>
            </w:pPr>
            <w:r w:rsidRPr="000B0935">
              <w:rPr>
                <w:b/>
                <w:sz w:val="20"/>
                <w:szCs w:val="20"/>
              </w:rPr>
              <w:t>T</w:t>
            </w:r>
          </w:p>
        </w:tc>
        <w:tc>
          <w:tcPr>
            <w:tcW w:w="1426" w:type="dxa"/>
            <w:shd w:val="clear" w:color="auto" w:fill="auto"/>
          </w:tcPr>
          <w:p w14:paraId="192F3C5D" w14:textId="129B38C4" w:rsidR="006835AF" w:rsidRPr="000B0935" w:rsidRDefault="006835AF" w:rsidP="007667D0">
            <w:pPr>
              <w:jc w:val="both"/>
              <w:rPr>
                <w:sz w:val="20"/>
                <w:szCs w:val="20"/>
              </w:rPr>
            </w:pPr>
          </w:p>
        </w:tc>
        <w:tc>
          <w:tcPr>
            <w:tcW w:w="3401" w:type="dxa"/>
            <w:shd w:val="clear" w:color="auto" w:fill="auto"/>
          </w:tcPr>
          <w:p w14:paraId="466DB585" w14:textId="4E1B911F" w:rsidR="00F50767" w:rsidRPr="000B0935" w:rsidRDefault="00F50767" w:rsidP="007667D0">
            <w:pPr>
              <w:autoSpaceDE w:val="0"/>
              <w:autoSpaceDN w:val="0"/>
              <w:adjustRightInd w:val="0"/>
              <w:jc w:val="both"/>
              <w:rPr>
                <w:sz w:val="20"/>
                <w:szCs w:val="20"/>
              </w:rPr>
            </w:pPr>
          </w:p>
        </w:tc>
        <w:tc>
          <w:tcPr>
            <w:tcW w:w="3280" w:type="dxa"/>
            <w:shd w:val="clear" w:color="auto" w:fill="auto"/>
          </w:tcPr>
          <w:p w14:paraId="79D99777" w14:textId="77777777" w:rsidR="006835AF" w:rsidRPr="000B0935" w:rsidRDefault="006835AF" w:rsidP="007667D0">
            <w:pPr>
              <w:jc w:val="both"/>
              <w:rPr>
                <w:sz w:val="20"/>
                <w:szCs w:val="20"/>
              </w:rPr>
            </w:pPr>
          </w:p>
        </w:tc>
      </w:tr>
      <w:tr w:rsidR="000B0935" w:rsidRPr="000B0935" w14:paraId="2096A1A1" w14:textId="77777777" w:rsidTr="00195DB8">
        <w:trPr>
          <w:trHeight w:val="2311"/>
        </w:trPr>
        <w:tc>
          <w:tcPr>
            <w:tcW w:w="682" w:type="dxa"/>
            <w:shd w:val="clear" w:color="auto" w:fill="auto"/>
          </w:tcPr>
          <w:p w14:paraId="7F44C678" w14:textId="4CC69EB2" w:rsidR="006835AF" w:rsidRPr="000B0935" w:rsidRDefault="006835AF" w:rsidP="007667D0">
            <w:pPr>
              <w:ind w:right="173"/>
              <w:jc w:val="both"/>
              <w:rPr>
                <w:b/>
                <w:sz w:val="20"/>
                <w:szCs w:val="20"/>
              </w:rPr>
            </w:pPr>
            <w:r w:rsidRPr="000B0935">
              <w:rPr>
                <w:b/>
                <w:sz w:val="20"/>
                <w:szCs w:val="20"/>
              </w:rPr>
              <w:t>34.</w:t>
            </w:r>
          </w:p>
        </w:tc>
        <w:tc>
          <w:tcPr>
            <w:tcW w:w="990" w:type="dxa"/>
            <w:shd w:val="clear" w:color="auto" w:fill="auto"/>
          </w:tcPr>
          <w:p w14:paraId="0C7EDFFC" w14:textId="3C5494F3" w:rsidR="006835AF" w:rsidRPr="000B0935" w:rsidRDefault="00DC494D" w:rsidP="007667D0">
            <w:pPr>
              <w:jc w:val="both"/>
              <w:rPr>
                <w:b/>
                <w:sz w:val="20"/>
                <w:szCs w:val="20"/>
              </w:rPr>
            </w:pPr>
            <w:r w:rsidRPr="000B0935">
              <w:rPr>
                <w:b/>
                <w:sz w:val="20"/>
                <w:szCs w:val="20"/>
              </w:rPr>
              <w:t xml:space="preserve">Art. 20 ust. 2 </w:t>
            </w:r>
          </w:p>
        </w:tc>
        <w:tc>
          <w:tcPr>
            <w:tcW w:w="3398" w:type="dxa"/>
            <w:shd w:val="clear" w:color="auto" w:fill="auto"/>
          </w:tcPr>
          <w:p w14:paraId="7A6379B8" w14:textId="0674000A" w:rsidR="006835AF" w:rsidRPr="000B0935" w:rsidRDefault="006835AF" w:rsidP="007667D0">
            <w:pPr>
              <w:autoSpaceDE w:val="0"/>
              <w:autoSpaceDN w:val="0"/>
              <w:adjustRightInd w:val="0"/>
              <w:jc w:val="both"/>
              <w:rPr>
                <w:sz w:val="20"/>
                <w:szCs w:val="20"/>
              </w:rPr>
            </w:pPr>
            <w:r w:rsidRPr="000B0935">
              <w:rPr>
                <w:sz w:val="20"/>
                <w:szCs w:val="20"/>
              </w:rPr>
              <w:t xml:space="preserve">2.Zachowanie obywateli Unii lub obywateli Zjednoczonego Królestwa, członków ich rodzin oraz innych osób, korzystających z praw na podstawie niniejszego tytułu, w przypadku gdy zachowanie to miało miejsce po zakończeniu okresu przejściowego, może stanowić przyczynę ograniczenia prawa pobytu przez państwo przyjmujące lub prawa do wjazdu przez państwo miejsca pracy zgodnie z prawodawstwem krajowym. </w:t>
            </w:r>
          </w:p>
        </w:tc>
        <w:tc>
          <w:tcPr>
            <w:tcW w:w="993" w:type="dxa"/>
            <w:shd w:val="clear" w:color="auto" w:fill="auto"/>
          </w:tcPr>
          <w:p w14:paraId="55418A5E" w14:textId="53DD8FF0" w:rsidR="006835AF" w:rsidRPr="000B0935" w:rsidRDefault="00DC494D" w:rsidP="007667D0">
            <w:pPr>
              <w:jc w:val="both"/>
              <w:rPr>
                <w:b/>
                <w:sz w:val="20"/>
                <w:szCs w:val="20"/>
              </w:rPr>
            </w:pPr>
            <w:r w:rsidRPr="000B0935">
              <w:rPr>
                <w:b/>
                <w:sz w:val="20"/>
                <w:szCs w:val="20"/>
              </w:rPr>
              <w:t>N</w:t>
            </w:r>
          </w:p>
        </w:tc>
        <w:tc>
          <w:tcPr>
            <w:tcW w:w="1426" w:type="dxa"/>
            <w:shd w:val="clear" w:color="auto" w:fill="auto"/>
          </w:tcPr>
          <w:p w14:paraId="3F39CCA6" w14:textId="5677145D" w:rsidR="006835AF" w:rsidRPr="000B0935" w:rsidRDefault="006835AF" w:rsidP="007667D0">
            <w:pPr>
              <w:jc w:val="both"/>
              <w:rPr>
                <w:sz w:val="20"/>
                <w:szCs w:val="20"/>
              </w:rPr>
            </w:pPr>
          </w:p>
        </w:tc>
        <w:tc>
          <w:tcPr>
            <w:tcW w:w="3401" w:type="dxa"/>
            <w:shd w:val="clear" w:color="auto" w:fill="auto"/>
          </w:tcPr>
          <w:p w14:paraId="744EDC04" w14:textId="7B17ADE5"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105B7B52" w14:textId="77777777" w:rsidR="006835AF" w:rsidRPr="000B0935" w:rsidRDefault="006835AF" w:rsidP="007667D0">
            <w:pPr>
              <w:jc w:val="both"/>
              <w:rPr>
                <w:sz w:val="20"/>
                <w:szCs w:val="20"/>
              </w:rPr>
            </w:pPr>
          </w:p>
        </w:tc>
      </w:tr>
      <w:tr w:rsidR="000B0935" w:rsidRPr="000B0935" w14:paraId="67F9665E" w14:textId="77777777" w:rsidTr="005E6C13">
        <w:trPr>
          <w:trHeight w:val="570"/>
        </w:trPr>
        <w:tc>
          <w:tcPr>
            <w:tcW w:w="682" w:type="dxa"/>
            <w:shd w:val="clear" w:color="auto" w:fill="auto"/>
          </w:tcPr>
          <w:p w14:paraId="4DC350BD" w14:textId="686931D0" w:rsidR="006835AF" w:rsidRPr="000B0935" w:rsidRDefault="006835AF" w:rsidP="007667D0">
            <w:pPr>
              <w:ind w:right="173"/>
              <w:jc w:val="both"/>
              <w:rPr>
                <w:b/>
                <w:sz w:val="20"/>
                <w:szCs w:val="20"/>
              </w:rPr>
            </w:pPr>
            <w:r w:rsidRPr="000B0935">
              <w:rPr>
                <w:b/>
                <w:sz w:val="20"/>
                <w:szCs w:val="20"/>
              </w:rPr>
              <w:t>35.</w:t>
            </w:r>
          </w:p>
        </w:tc>
        <w:tc>
          <w:tcPr>
            <w:tcW w:w="990" w:type="dxa"/>
            <w:shd w:val="clear" w:color="auto" w:fill="auto"/>
          </w:tcPr>
          <w:p w14:paraId="58FD45CA" w14:textId="1CB6F36F" w:rsidR="006835AF" w:rsidRPr="000B0935" w:rsidRDefault="00F50767" w:rsidP="007667D0">
            <w:pPr>
              <w:jc w:val="both"/>
              <w:rPr>
                <w:b/>
                <w:sz w:val="20"/>
                <w:szCs w:val="20"/>
              </w:rPr>
            </w:pPr>
            <w:r w:rsidRPr="000B0935">
              <w:rPr>
                <w:b/>
                <w:sz w:val="20"/>
                <w:szCs w:val="20"/>
              </w:rPr>
              <w:t>Art. 20 ust. 3</w:t>
            </w:r>
          </w:p>
        </w:tc>
        <w:tc>
          <w:tcPr>
            <w:tcW w:w="3398" w:type="dxa"/>
            <w:shd w:val="clear" w:color="auto" w:fill="auto"/>
          </w:tcPr>
          <w:p w14:paraId="076B3C24" w14:textId="27443898" w:rsidR="006835AF" w:rsidRPr="000B0935" w:rsidRDefault="006835AF" w:rsidP="007667D0">
            <w:pPr>
              <w:autoSpaceDE w:val="0"/>
              <w:autoSpaceDN w:val="0"/>
              <w:adjustRightInd w:val="0"/>
              <w:jc w:val="both"/>
              <w:rPr>
                <w:sz w:val="20"/>
                <w:szCs w:val="20"/>
              </w:rPr>
            </w:pPr>
            <w:r w:rsidRPr="000B0935">
              <w:rPr>
                <w:sz w:val="20"/>
                <w:szCs w:val="20"/>
              </w:rPr>
              <w:t xml:space="preserve">3.Państwo przyjmujące lub państwo miejsca pracy może przyjąć niezbędne środki w celu odmowy, zniesienia lub wycofania dowolnego prawa przyznanego niniejszym tytułem w przypadku nadużycia tych praw lub oszustwa, zgodnie z art. 35 dyrektywy 2004/38/WE. Środki te podlegają zabezpieczeniom proceduralnym </w:t>
            </w:r>
            <w:r w:rsidRPr="000B0935">
              <w:rPr>
                <w:sz w:val="20"/>
                <w:szCs w:val="20"/>
              </w:rPr>
              <w:lastRenderedPageBreak/>
              <w:t>przewidzianym w art. 21 niniejszej Umowy.</w:t>
            </w:r>
          </w:p>
        </w:tc>
        <w:tc>
          <w:tcPr>
            <w:tcW w:w="993" w:type="dxa"/>
            <w:shd w:val="clear" w:color="auto" w:fill="auto"/>
          </w:tcPr>
          <w:p w14:paraId="37EED7D1" w14:textId="47592DE6" w:rsidR="006835AF" w:rsidRPr="000B0935" w:rsidRDefault="00F50767" w:rsidP="007667D0">
            <w:pPr>
              <w:jc w:val="both"/>
              <w:rPr>
                <w:b/>
                <w:sz w:val="20"/>
                <w:szCs w:val="20"/>
              </w:rPr>
            </w:pPr>
            <w:r w:rsidRPr="000B0935">
              <w:rPr>
                <w:b/>
                <w:sz w:val="20"/>
                <w:szCs w:val="20"/>
              </w:rPr>
              <w:lastRenderedPageBreak/>
              <w:t xml:space="preserve">T </w:t>
            </w:r>
          </w:p>
        </w:tc>
        <w:tc>
          <w:tcPr>
            <w:tcW w:w="1426" w:type="dxa"/>
            <w:shd w:val="clear" w:color="auto" w:fill="auto"/>
          </w:tcPr>
          <w:p w14:paraId="305284F4" w14:textId="79A28A90" w:rsidR="00F50767" w:rsidRPr="000B0935" w:rsidRDefault="00F50767" w:rsidP="007667D0">
            <w:pPr>
              <w:jc w:val="both"/>
              <w:rPr>
                <w:sz w:val="20"/>
                <w:szCs w:val="20"/>
              </w:rPr>
            </w:pPr>
          </w:p>
        </w:tc>
        <w:tc>
          <w:tcPr>
            <w:tcW w:w="3401" w:type="dxa"/>
            <w:shd w:val="clear" w:color="auto" w:fill="auto"/>
          </w:tcPr>
          <w:p w14:paraId="68C35FE7" w14:textId="67DD7D42" w:rsidR="00F50767" w:rsidRPr="000B0935" w:rsidRDefault="00F50767" w:rsidP="007667D0">
            <w:pPr>
              <w:autoSpaceDE w:val="0"/>
              <w:autoSpaceDN w:val="0"/>
              <w:adjustRightInd w:val="0"/>
              <w:jc w:val="both"/>
              <w:rPr>
                <w:sz w:val="20"/>
                <w:szCs w:val="20"/>
              </w:rPr>
            </w:pPr>
          </w:p>
        </w:tc>
        <w:tc>
          <w:tcPr>
            <w:tcW w:w="3280" w:type="dxa"/>
            <w:shd w:val="clear" w:color="auto" w:fill="auto"/>
          </w:tcPr>
          <w:p w14:paraId="2A4303E6" w14:textId="77777777" w:rsidR="006835AF" w:rsidRPr="000B0935" w:rsidRDefault="006835AF" w:rsidP="007667D0">
            <w:pPr>
              <w:jc w:val="both"/>
              <w:rPr>
                <w:sz w:val="20"/>
                <w:szCs w:val="20"/>
              </w:rPr>
            </w:pPr>
          </w:p>
        </w:tc>
      </w:tr>
      <w:tr w:rsidR="000B0935" w:rsidRPr="000B0935" w14:paraId="7B9BC561" w14:textId="77777777" w:rsidTr="005E6C13">
        <w:trPr>
          <w:trHeight w:val="570"/>
        </w:trPr>
        <w:tc>
          <w:tcPr>
            <w:tcW w:w="682" w:type="dxa"/>
            <w:shd w:val="clear" w:color="auto" w:fill="auto"/>
          </w:tcPr>
          <w:p w14:paraId="65D91FDA" w14:textId="43E5FD70" w:rsidR="006835AF" w:rsidRPr="000B0935" w:rsidRDefault="006835AF" w:rsidP="007667D0">
            <w:pPr>
              <w:ind w:right="173"/>
              <w:jc w:val="both"/>
              <w:rPr>
                <w:b/>
                <w:sz w:val="20"/>
                <w:szCs w:val="20"/>
              </w:rPr>
            </w:pPr>
            <w:r w:rsidRPr="000B0935">
              <w:rPr>
                <w:b/>
                <w:sz w:val="20"/>
                <w:szCs w:val="20"/>
              </w:rPr>
              <w:t>36.</w:t>
            </w:r>
          </w:p>
        </w:tc>
        <w:tc>
          <w:tcPr>
            <w:tcW w:w="990" w:type="dxa"/>
            <w:shd w:val="clear" w:color="auto" w:fill="auto"/>
          </w:tcPr>
          <w:p w14:paraId="55A7EA20" w14:textId="77777777" w:rsidR="006835AF" w:rsidRPr="000B0935" w:rsidRDefault="006835AF" w:rsidP="007667D0">
            <w:pPr>
              <w:jc w:val="both"/>
              <w:rPr>
                <w:b/>
                <w:sz w:val="20"/>
                <w:szCs w:val="20"/>
              </w:rPr>
            </w:pPr>
          </w:p>
        </w:tc>
        <w:tc>
          <w:tcPr>
            <w:tcW w:w="3398" w:type="dxa"/>
            <w:shd w:val="clear" w:color="auto" w:fill="auto"/>
          </w:tcPr>
          <w:p w14:paraId="25CDB81A" w14:textId="5C68FBF8" w:rsidR="006835AF" w:rsidRPr="000B0935" w:rsidRDefault="006835AF" w:rsidP="007667D0">
            <w:pPr>
              <w:autoSpaceDE w:val="0"/>
              <w:autoSpaceDN w:val="0"/>
              <w:adjustRightInd w:val="0"/>
              <w:jc w:val="both"/>
              <w:rPr>
                <w:sz w:val="20"/>
                <w:szCs w:val="20"/>
              </w:rPr>
            </w:pPr>
            <w:r w:rsidRPr="000B0935">
              <w:rPr>
                <w:sz w:val="20"/>
                <w:szCs w:val="20"/>
              </w:rPr>
              <w:t>4.Państwo przyjmujące lub państwo miejsca pracy może wydalić ze swojego terytorium wnioskodawców, którzy złożyli wnioski wprowadzające organ w błąd lub stanowiące nadużycie, na warunkach określonych w dyrektywie 2004/38/WE, w szczególności w art. 31 i 35, nawet przed wydaniem orzeczenia sądowego kończącego postępowanie w sprawie środka odwoławczego od decyzji o odmownym rozpatrzeniu takiego wniosku.</w:t>
            </w:r>
          </w:p>
        </w:tc>
        <w:tc>
          <w:tcPr>
            <w:tcW w:w="993" w:type="dxa"/>
            <w:shd w:val="clear" w:color="auto" w:fill="auto"/>
          </w:tcPr>
          <w:p w14:paraId="601C7531" w14:textId="2CF83C2F" w:rsidR="006835AF" w:rsidRPr="000B0935" w:rsidRDefault="00156AE0" w:rsidP="007667D0">
            <w:pPr>
              <w:jc w:val="both"/>
              <w:rPr>
                <w:b/>
                <w:sz w:val="20"/>
                <w:szCs w:val="20"/>
              </w:rPr>
            </w:pPr>
            <w:r w:rsidRPr="000B0935">
              <w:rPr>
                <w:b/>
                <w:sz w:val="20"/>
                <w:szCs w:val="20"/>
              </w:rPr>
              <w:t>N</w:t>
            </w:r>
          </w:p>
        </w:tc>
        <w:tc>
          <w:tcPr>
            <w:tcW w:w="1426" w:type="dxa"/>
            <w:shd w:val="clear" w:color="auto" w:fill="auto"/>
          </w:tcPr>
          <w:p w14:paraId="354905F1" w14:textId="0D102960" w:rsidR="006835AF" w:rsidRPr="000B0935" w:rsidRDefault="006835AF" w:rsidP="007667D0">
            <w:pPr>
              <w:jc w:val="both"/>
              <w:rPr>
                <w:sz w:val="20"/>
                <w:szCs w:val="20"/>
              </w:rPr>
            </w:pPr>
          </w:p>
        </w:tc>
        <w:tc>
          <w:tcPr>
            <w:tcW w:w="3401" w:type="dxa"/>
            <w:shd w:val="clear" w:color="auto" w:fill="auto"/>
          </w:tcPr>
          <w:p w14:paraId="05CAB529" w14:textId="7430BEAF" w:rsidR="006835AF" w:rsidRPr="000B0935" w:rsidRDefault="006835AF" w:rsidP="007667D0">
            <w:pPr>
              <w:autoSpaceDE w:val="0"/>
              <w:autoSpaceDN w:val="0"/>
              <w:adjustRightInd w:val="0"/>
              <w:jc w:val="both"/>
              <w:rPr>
                <w:sz w:val="20"/>
                <w:szCs w:val="20"/>
              </w:rPr>
            </w:pPr>
          </w:p>
        </w:tc>
        <w:tc>
          <w:tcPr>
            <w:tcW w:w="3280" w:type="dxa"/>
            <w:shd w:val="clear" w:color="auto" w:fill="auto"/>
          </w:tcPr>
          <w:p w14:paraId="4C949819" w14:textId="371B46D0" w:rsidR="006835AF" w:rsidRPr="000B0935" w:rsidRDefault="006835AF" w:rsidP="007667D0">
            <w:pPr>
              <w:jc w:val="both"/>
              <w:rPr>
                <w:sz w:val="20"/>
                <w:szCs w:val="20"/>
              </w:rPr>
            </w:pPr>
          </w:p>
        </w:tc>
      </w:tr>
      <w:tr w:rsidR="000B0935" w:rsidRPr="000B0935" w14:paraId="371D3607" w14:textId="77777777" w:rsidTr="00F50767">
        <w:trPr>
          <w:trHeight w:val="570"/>
        </w:trPr>
        <w:tc>
          <w:tcPr>
            <w:tcW w:w="14170" w:type="dxa"/>
            <w:gridSpan w:val="7"/>
            <w:shd w:val="clear" w:color="auto" w:fill="auto"/>
          </w:tcPr>
          <w:p w14:paraId="3FCD03F2" w14:textId="2C785A61" w:rsidR="006835AF" w:rsidRPr="000B0935" w:rsidRDefault="006835AF" w:rsidP="007667D0">
            <w:pPr>
              <w:jc w:val="both"/>
              <w:rPr>
                <w:b/>
                <w:sz w:val="20"/>
                <w:szCs w:val="20"/>
              </w:rPr>
            </w:pPr>
          </w:p>
        </w:tc>
      </w:tr>
      <w:tr w:rsidR="000B0935" w:rsidRPr="000B0935" w14:paraId="317A0BFB" w14:textId="77777777" w:rsidTr="005E6C13">
        <w:trPr>
          <w:trHeight w:val="570"/>
        </w:trPr>
        <w:tc>
          <w:tcPr>
            <w:tcW w:w="682" w:type="dxa"/>
            <w:shd w:val="clear" w:color="auto" w:fill="auto"/>
          </w:tcPr>
          <w:p w14:paraId="21F01353" w14:textId="2F1ED535" w:rsidR="006835AF" w:rsidRPr="000B0935" w:rsidRDefault="006835AF" w:rsidP="007667D0">
            <w:pPr>
              <w:ind w:right="173"/>
              <w:jc w:val="both"/>
              <w:rPr>
                <w:b/>
                <w:sz w:val="20"/>
                <w:szCs w:val="20"/>
              </w:rPr>
            </w:pPr>
            <w:r w:rsidRPr="000B0935">
              <w:rPr>
                <w:b/>
                <w:sz w:val="20"/>
                <w:szCs w:val="20"/>
              </w:rPr>
              <w:t>37</w:t>
            </w:r>
          </w:p>
        </w:tc>
        <w:tc>
          <w:tcPr>
            <w:tcW w:w="990" w:type="dxa"/>
            <w:shd w:val="clear" w:color="auto" w:fill="auto"/>
          </w:tcPr>
          <w:p w14:paraId="12221F03" w14:textId="77777777" w:rsidR="006835AF" w:rsidRPr="000B0935" w:rsidRDefault="006835AF" w:rsidP="007667D0">
            <w:pPr>
              <w:jc w:val="both"/>
              <w:rPr>
                <w:b/>
                <w:sz w:val="20"/>
                <w:szCs w:val="20"/>
              </w:rPr>
            </w:pPr>
          </w:p>
        </w:tc>
        <w:tc>
          <w:tcPr>
            <w:tcW w:w="3398" w:type="dxa"/>
            <w:shd w:val="clear" w:color="auto" w:fill="auto"/>
          </w:tcPr>
          <w:p w14:paraId="420C70FC" w14:textId="18138B7F" w:rsidR="006835AF" w:rsidRPr="000B0935" w:rsidRDefault="006835AF" w:rsidP="007667D0">
            <w:pPr>
              <w:autoSpaceDE w:val="0"/>
              <w:autoSpaceDN w:val="0"/>
              <w:adjustRightInd w:val="0"/>
              <w:jc w:val="both"/>
              <w:rPr>
                <w:sz w:val="20"/>
                <w:szCs w:val="20"/>
              </w:rPr>
            </w:pPr>
            <w:r w:rsidRPr="000B0935">
              <w:rPr>
                <w:sz w:val="20"/>
                <w:szCs w:val="20"/>
              </w:rPr>
              <w:t>Zabezpieczenia proceduralne określone w art. 15 i rozdziale VI dyrektywy 2004/38/WE mają zastosowanie w odniesieniu do wszelkich decyzji państwa przyjmującego ograniczających prawa pobytu osób, o których mowa w art. 10 niniejszej Umowy.</w:t>
            </w:r>
          </w:p>
        </w:tc>
        <w:tc>
          <w:tcPr>
            <w:tcW w:w="993" w:type="dxa"/>
            <w:shd w:val="clear" w:color="auto" w:fill="auto"/>
          </w:tcPr>
          <w:p w14:paraId="7257448B" w14:textId="5D55C5AF" w:rsidR="006835AF" w:rsidRPr="000B0935" w:rsidRDefault="004B6C94" w:rsidP="007667D0">
            <w:pPr>
              <w:jc w:val="both"/>
              <w:rPr>
                <w:b/>
                <w:sz w:val="20"/>
                <w:szCs w:val="20"/>
              </w:rPr>
            </w:pPr>
            <w:r w:rsidRPr="000B0935">
              <w:rPr>
                <w:b/>
                <w:sz w:val="20"/>
                <w:szCs w:val="20"/>
              </w:rPr>
              <w:t>T</w:t>
            </w:r>
          </w:p>
        </w:tc>
        <w:tc>
          <w:tcPr>
            <w:tcW w:w="1426" w:type="dxa"/>
            <w:shd w:val="clear" w:color="auto" w:fill="auto"/>
          </w:tcPr>
          <w:p w14:paraId="18ED6FE6" w14:textId="38A8F303" w:rsidR="00835DAA" w:rsidRPr="000B0935" w:rsidRDefault="00835DAA" w:rsidP="007667D0">
            <w:pPr>
              <w:jc w:val="both"/>
              <w:rPr>
                <w:sz w:val="20"/>
                <w:szCs w:val="20"/>
              </w:rPr>
            </w:pPr>
          </w:p>
        </w:tc>
        <w:tc>
          <w:tcPr>
            <w:tcW w:w="3401" w:type="dxa"/>
            <w:shd w:val="clear" w:color="auto" w:fill="auto"/>
          </w:tcPr>
          <w:p w14:paraId="67EA9781" w14:textId="202FF349"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2DC31E9C" w14:textId="77777777" w:rsidR="006835AF" w:rsidRPr="000B0935" w:rsidRDefault="006835AF" w:rsidP="007667D0">
            <w:pPr>
              <w:jc w:val="both"/>
              <w:rPr>
                <w:sz w:val="20"/>
                <w:szCs w:val="20"/>
              </w:rPr>
            </w:pPr>
          </w:p>
        </w:tc>
      </w:tr>
      <w:tr w:rsidR="000B0935" w:rsidRPr="000B0935" w14:paraId="6AB9F03E" w14:textId="77777777" w:rsidTr="00F50767">
        <w:trPr>
          <w:trHeight w:val="570"/>
        </w:trPr>
        <w:tc>
          <w:tcPr>
            <w:tcW w:w="14170" w:type="dxa"/>
            <w:gridSpan w:val="7"/>
            <w:shd w:val="clear" w:color="auto" w:fill="auto"/>
          </w:tcPr>
          <w:p w14:paraId="126C95C2" w14:textId="02D4093E" w:rsidR="006835AF" w:rsidRPr="000B0935" w:rsidRDefault="006835AF" w:rsidP="007667D0">
            <w:pPr>
              <w:jc w:val="both"/>
              <w:rPr>
                <w:sz w:val="20"/>
                <w:szCs w:val="20"/>
              </w:rPr>
            </w:pPr>
          </w:p>
        </w:tc>
      </w:tr>
      <w:tr w:rsidR="000B0935" w:rsidRPr="000B0935" w14:paraId="4D2EFFEB" w14:textId="77777777" w:rsidTr="00F50767">
        <w:trPr>
          <w:trHeight w:val="570"/>
        </w:trPr>
        <w:tc>
          <w:tcPr>
            <w:tcW w:w="14170" w:type="dxa"/>
            <w:gridSpan w:val="7"/>
            <w:shd w:val="clear" w:color="auto" w:fill="auto"/>
          </w:tcPr>
          <w:p w14:paraId="76C70C47" w14:textId="6A950C43" w:rsidR="006835AF" w:rsidRPr="000B0935" w:rsidRDefault="006835AF" w:rsidP="007667D0">
            <w:pPr>
              <w:autoSpaceDE w:val="0"/>
              <w:autoSpaceDN w:val="0"/>
              <w:adjustRightInd w:val="0"/>
              <w:jc w:val="both"/>
              <w:rPr>
                <w:b/>
                <w:sz w:val="20"/>
                <w:szCs w:val="20"/>
              </w:rPr>
            </w:pPr>
          </w:p>
        </w:tc>
      </w:tr>
      <w:tr w:rsidR="000B0935" w:rsidRPr="000B0935" w14:paraId="4252DF9B" w14:textId="77777777" w:rsidTr="005E6C13">
        <w:trPr>
          <w:trHeight w:val="570"/>
        </w:trPr>
        <w:tc>
          <w:tcPr>
            <w:tcW w:w="682" w:type="dxa"/>
            <w:shd w:val="clear" w:color="auto" w:fill="auto"/>
          </w:tcPr>
          <w:p w14:paraId="7A426046" w14:textId="62E7FA09" w:rsidR="006835AF" w:rsidRPr="000B0935" w:rsidRDefault="006835AF" w:rsidP="007667D0">
            <w:pPr>
              <w:ind w:right="173"/>
              <w:jc w:val="both"/>
              <w:rPr>
                <w:b/>
                <w:sz w:val="20"/>
                <w:szCs w:val="20"/>
              </w:rPr>
            </w:pPr>
            <w:r w:rsidRPr="000B0935">
              <w:rPr>
                <w:b/>
                <w:sz w:val="20"/>
                <w:szCs w:val="20"/>
              </w:rPr>
              <w:t>38.</w:t>
            </w:r>
          </w:p>
        </w:tc>
        <w:tc>
          <w:tcPr>
            <w:tcW w:w="990" w:type="dxa"/>
            <w:shd w:val="clear" w:color="auto" w:fill="auto"/>
          </w:tcPr>
          <w:p w14:paraId="5F7450E5" w14:textId="419E343C" w:rsidR="006835AF" w:rsidRPr="000B0935" w:rsidRDefault="006835AF" w:rsidP="007667D0">
            <w:pPr>
              <w:jc w:val="both"/>
              <w:rPr>
                <w:b/>
                <w:sz w:val="20"/>
                <w:szCs w:val="20"/>
              </w:rPr>
            </w:pPr>
            <w:r w:rsidRPr="000B0935">
              <w:rPr>
                <w:b/>
                <w:sz w:val="20"/>
                <w:szCs w:val="20"/>
              </w:rPr>
              <w:t xml:space="preserve">Art. 26 </w:t>
            </w:r>
          </w:p>
        </w:tc>
        <w:tc>
          <w:tcPr>
            <w:tcW w:w="3398" w:type="dxa"/>
            <w:shd w:val="clear" w:color="auto" w:fill="auto"/>
          </w:tcPr>
          <w:p w14:paraId="0C503796" w14:textId="7A1C7D49" w:rsidR="006835AF" w:rsidRPr="000B0935" w:rsidRDefault="006835AF" w:rsidP="007667D0">
            <w:pPr>
              <w:autoSpaceDE w:val="0"/>
              <w:autoSpaceDN w:val="0"/>
              <w:adjustRightInd w:val="0"/>
              <w:jc w:val="both"/>
              <w:rPr>
                <w:sz w:val="20"/>
                <w:szCs w:val="20"/>
              </w:rPr>
            </w:pPr>
            <w:r w:rsidRPr="000B0935">
              <w:rPr>
                <w:sz w:val="20"/>
                <w:szCs w:val="20"/>
              </w:rPr>
              <w:t xml:space="preserve">Państwo miejsca pracy może nałożyć na obywateli Unii i obywateli Zjednoczonego Królestwa, posiadających prawa jako pracownicy przygraniczni na podstawie niniejszego tytułu, obowiązek wystąpienia o wydanie dokumentu potwierdzającego, że takie prawa posiadają na podstawie niniejszego tytułu. W takim przypadku </w:t>
            </w:r>
            <w:r w:rsidRPr="000B0935">
              <w:rPr>
                <w:sz w:val="20"/>
                <w:szCs w:val="20"/>
              </w:rPr>
              <w:lastRenderedPageBreak/>
              <w:t>obywatele Unii i obywatele Zjednoczonego Królestwa mają prawo do uzyskania takiego dokumentu.</w:t>
            </w:r>
          </w:p>
        </w:tc>
        <w:tc>
          <w:tcPr>
            <w:tcW w:w="993" w:type="dxa"/>
            <w:shd w:val="clear" w:color="auto" w:fill="auto"/>
          </w:tcPr>
          <w:p w14:paraId="7C713986" w14:textId="610C7E99" w:rsidR="006835AF" w:rsidRPr="000B0935" w:rsidRDefault="00486085" w:rsidP="007667D0">
            <w:pPr>
              <w:jc w:val="both"/>
              <w:rPr>
                <w:b/>
                <w:sz w:val="20"/>
                <w:szCs w:val="20"/>
              </w:rPr>
            </w:pPr>
            <w:r w:rsidRPr="000B0935">
              <w:rPr>
                <w:b/>
                <w:sz w:val="20"/>
                <w:szCs w:val="20"/>
              </w:rPr>
              <w:lastRenderedPageBreak/>
              <w:t>T</w:t>
            </w:r>
          </w:p>
        </w:tc>
        <w:tc>
          <w:tcPr>
            <w:tcW w:w="1426" w:type="dxa"/>
            <w:shd w:val="clear" w:color="auto" w:fill="auto"/>
          </w:tcPr>
          <w:p w14:paraId="1EB8C730" w14:textId="079FF98C" w:rsidR="006835AF" w:rsidRPr="000B0935" w:rsidRDefault="006835AF" w:rsidP="007667D0">
            <w:pPr>
              <w:jc w:val="both"/>
              <w:rPr>
                <w:sz w:val="20"/>
                <w:szCs w:val="20"/>
              </w:rPr>
            </w:pPr>
          </w:p>
        </w:tc>
        <w:tc>
          <w:tcPr>
            <w:tcW w:w="3401" w:type="dxa"/>
            <w:shd w:val="clear" w:color="auto" w:fill="auto"/>
          </w:tcPr>
          <w:p w14:paraId="31BE3981" w14:textId="730450E3"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69B0E520" w14:textId="77777777" w:rsidR="006835AF" w:rsidRPr="000B0935" w:rsidRDefault="006835AF" w:rsidP="007667D0">
            <w:pPr>
              <w:jc w:val="both"/>
              <w:rPr>
                <w:sz w:val="20"/>
                <w:szCs w:val="20"/>
              </w:rPr>
            </w:pPr>
          </w:p>
        </w:tc>
      </w:tr>
      <w:tr w:rsidR="000B0935" w:rsidRPr="000B0935" w14:paraId="165E1773" w14:textId="77777777" w:rsidTr="009756CC">
        <w:trPr>
          <w:trHeight w:val="540"/>
        </w:trPr>
        <w:tc>
          <w:tcPr>
            <w:tcW w:w="14170" w:type="dxa"/>
            <w:gridSpan w:val="7"/>
            <w:shd w:val="clear" w:color="auto" w:fill="auto"/>
          </w:tcPr>
          <w:p w14:paraId="624E351C" w14:textId="48D2CFC0" w:rsidR="006835AF" w:rsidRPr="000B0935" w:rsidRDefault="006835AF" w:rsidP="007667D0">
            <w:pPr>
              <w:jc w:val="both"/>
              <w:rPr>
                <w:b/>
                <w:sz w:val="20"/>
                <w:szCs w:val="20"/>
              </w:rPr>
            </w:pPr>
          </w:p>
          <w:p w14:paraId="6D587146" w14:textId="77777777" w:rsidR="006835AF" w:rsidRPr="000B0935" w:rsidRDefault="006835AF" w:rsidP="007667D0">
            <w:pPr>
              <w:autoSpaceDE w:val="0"/>
              <w:autoSpaceDN w:val="0"/>
              <w:adjustRightInd w:val="0"/>
              <w:jc w:val="both"/>
              <w:rPr>
                <w:b/>
                <w:sz w:val="20"/>
                <w:szCs w:val="20"/>
              </w:rPr>
            </w:pPr>
            <w:r w:rsidRPr="000B0935">
              <w:rPr>
                <w:b/>
                <w:sz w:val="20"/>
                <w:szCs w:val="20"/>
              </w:rPr>
              <w:t>CZĘŚĆ CZWARTA</w:t>
            </w:r>
          </w:p>
          <w:p w14:paraId="641F0DB7" w14:textId="052C4AD3" w:rsidR="006835AF" w:rsidRPr="000B0935" w:rsidRDefault="006835AF" w:rsidP="007667D0">
            <w:pPr>
              <w:autoSpaceDE w:val="0"/>
              <w:autoSpaceDN w:val="0"/>
              <w:adjustRightInd w:val="0"/>
              <w:jc w:val="both"/>
              <w:rPr>
                <w:sz w:val="20"/>
                <w:szCs w:val="20"/>
              </w:rPr>
            </w:pPr>
            <w:r w:rsidRPr="000B0935">
              <w:rPr>
                <w:b/>
                <w:sz w:val="20"/>
                <w:szCs w:val="20"/>
              </w:rPr>
              <w:t>OKRES PRZEJŚCIOWY</w:t>
            </w:r>
          </w:p>
        </w:tc>
      </w:tr>
      <w:tr w:rsidR="000B0935" w:rsidRPr="000B0935" w14:paraId="74A1B267" w14:textId="77777777" w:rsidTr="00F50767">
        <w:trPr>
          <w:trHeight w:val="1070"/>
        </w:trPr>
        <w:tc>
          <w:tcPr>
            <w:tcW w:w="14170" w:type="dxa"/>
            <w:gridSpan w:val="7"/>
            <w:shd w:val="clear" w:color="auto" w:fill="auto"/>
          </w:tcPr>
          <w:p w14:paraId="76A89DAD" w14:textId="0725E51C" w:rsidR="006835AF" w:rsidRPr="000B0935" w:rsidRDefault="006835AF" w:rsidP="007667D0">
            <w:pPr>
              <w:autoSpaceDE w:val="0"/>
              <w:autoSpaceDN w:val="0"/>
              <w:adjustRightInd w:val="0"/>
              <w:jc w:val="both"/>
              <w:rPr>
                <w:b/>
                <w:sz w:val="20"/>
                <w:szCs w:val="20"/>
              </w:rPr>
            </w:pPr>
            <w:r w:rsidRPr="000B0935">
              <w:rPr>
                <w:b/>
                <w:sz w:val="20"/>
                <w:szCs w:val="20"/>
              </w:rPr>
              <w:t>Artykuł 126</w:t>
            </w:r>
          </w:p>
          <w:p w14:paraId="3DB5DEAC" w14:textId="5F4D6A59" w:rsidR="006835AF" w:rsidRPr="000B0935" w:rsidRDefault="006835AF" w:rsidP="007667D0">
            <w:pPr>
              <w:autoSpaceDE w:val="0"/>
              <w:autoSpaceDN w:val="0"/>
              <w:adjustRightInd w:val="0"/>
              <w:jc w:val="both"/>
              <w:rPr>
                <w:b/>
                <w:sz w:val="20"/>
                <w:szCs w:val="20"/>
              </w:rPr>
            </w:pPr>
            <w:r w:rsidRPr="000B0935">
              <w:rPr>
                <w:b/>
                <w:sz w:val="20"/>
                <w:szCs w:val="20"/>
              </w:rPr>
              <w:t>Okres przejściowy</w:t>
            </w:r>
          </w:p>
          <w:p w14:paraId="6DB5DB0F" w14:textId="77777777" w:rsidR="006835AF" w:rsidRPr="000B0935" w:rsidRDefault="006835AF" w:rsidP="007667D0">
            <w:pPr>
              <w:jc w:val="both"/>
              <w:rPr>
                <w:b/>
                <w:sz w:val="20"/>
                <w:szCs w:val="20"/>
              </w:rPr>
            </w:pPr>
          </w:p>
        </w:tc>
      </w:tr>
      <w:tr w:rsidR="000B0935" w:rsidRPr="000B0935" w14:paraId="24F091E6" w14:textId="77777777" w:rsidTr="005E6C13">
        <w:trPr>
          <w:trHeight w:val="570"/>
        </w:trPr>
        <w:tc>
          <w:tcPr>
            <w:tcW w:w="682" w:type="dxa"/>
            <w:shd w:val="clear" w:color="auto" w:fill="auto"/>
          </w:tcPr>
          <w:p w14:paraId="32B654D2" w14:textId="62420CC2" w:rsidR="006835AF" w:rsidRPr="000B0935" w:rsidRDefault="006835AF" w:rsidP="007667D0">
            <w:pPr>
              <w:ind w:right="173"/>
              <w:jc w:val="both"/>
              <w:rPr>
                <w:b/>
                <w:sz w:val="20"/>
                <w:szCs w:val="20"/>
              </w:rPr>
            </w:pPr>
            <w:r w:rsidRPr="000B0935">
              <w:rPr>
                <w:b/>
                <w:sz w:val="20"/>
                <w:szCs w:val="20"/>
              </w:rPr>
              <w:t>39.</w:t>
            </w:r>
          </w:p>
        </w:tc>
        <w:tc>
          <w:tcPr>
            <w:tcW w:w="990" w:type="dxa"/>
            <w:shd w:val="clear" w:color="auto" w:fill="auto"/>
          </w:tcPr>
          <w:p w14:paraId="17E0BF0E" w14:textId="58B8A806" w:rsidR="006835AF" w:rsidRPr="000B0935" w:rsidRDefault="006835AF" w:rsidP="007667D0">
            <w:pPr>
              <w:jc w:val="both"/>
              <w:rPr>
                <w:b/>
                <w:sz w:val="20"/>
                <w:szCs w:val="20"/>
              </w:rPr>
            </w:pPr>
            <w:r w:rsidRPr="000B0935">
              <w:rPr>
                <w:b/>
                <w:sz w:val="20"/>
                <w:szCs w:val="20"/>
              </w:rPr>
              <w:t>Art. 126</w:t>
            </w:r>
          </w:p>
        </w:tc>
        <w:tc>
          <w:tcPr>
            <w:tcW w:w="3398" w:type="dxa"/>
            <w:shd w:val="clear" w:color="auto" w:fill="auto"/>
          </w:tcPr>
          <w:p w14:paraId="27C55F14" w14:textId="77777777" w:rsidR="006835AF" w:rsidRPr="000B0935" w:rsidRDefault="006835AF" w:rsidP="007667D0">
            <w:pPr>
              <w:autoSpaceDE w:val="0"/>
              <w:autoSpaceDN w:val="0"/>
              <w:adjustRightInd w:val="0"/>
              <w:jc w:val="both"/>
              <w:rPr>
                <w:b/>
                <w:sz w:val="20"/>
                <w:szCs w:val="20"/>
              </w:rPr>
            </w:pPr>
            <w:r w:rsidRPr="000B0935">
              <w:rPr>
                <w:sz w:val="20"/>
                <w:szCs w:val="20"/>
              </w:rPr>
              <w:t>Obowiązuje okres przejściowy lub okres wdrażania, który rozpoczyna się z dniem wejścia w życie niniejszej Umowy i kończy się w dniu 31 grudnia 2020</w:t>
            </w:r>
            <w:r w:rsidRPr="000B0935">
              <w:rPr>
                <w:b/>
                <w:sz w:val="20"/>
                <w:szCs w:val="20"/>
              </w:rPr>
              <w:t xml:space="preserve"> </w:t>
            </w:r>
            <w:r w:rsidRPr="000B0935">
              <w:rPr>
                <w:sz w:val="20"/>
                <w:szCs w:val="20"/>
              </w:rPr>
              <w:t>r.</w:t>
            </w:r>
          </w:p>
          <w:p w14:paraId="240E297F" w14:textId="44997497" w:rsidR="006835AF" w:rsidRPr="000B0935" w:rsidRDefault="006835AF" w:rsidP="007667D0">
            <w:pPr>
              <w:autoSpaceDE w:val="0"/>
              <w:autoSpaceDN w:val="0"/>
              <w:adjustRightInd w:val="0"/>
              <w:jc w:val="both"/>
              <w:rPr>
                <w:sz w:val="20"/>
                <w:szCs w:val="20"/>
              </w:rPr>
            </w:pPr>
          </w:p>
        </w:tc>
        <w:tc>
          <w:tcPr>
            <w:tcW w:w="993" w:type="dxa"/>
            <w:shd w:val="clear" w:color="auto" w:fill="auto"/>
          </w:tcPr>
          <w:p w14:paraId="4E5AA376" w14:textId="627B7065" w:rsidR="006835AF" w:rsidRPr="000B0935" w:rsidRDefault="00E03F70" w:rsidP="007667D0">
            <w:pPr>
              <w:jc w:val="both"/>
              <w:rPr>
                <w:b/>
                <w:sz w:val="20"/>
                <w:szCs w:val="20"/>
              </w:rPr>
            </w:pPr>
            <w:r w:rsidRPr="000B0935">
              <w:rPr>
                <w:b/>
                <w:sz w:val="20"/>
                <w:szCs w:val="20"/>
              </w:rPr>
              <w:t>T</w:t>
            </w:r>
          </w:p>
        </w:tc>
        <w:tc>
          <w:tcPr>
            <w:tcW w:w="1426" w:type="dxa"/>
            <w:shd w:val="clear" w:color="auto" w:fill="auto"/>
          </w:tcPr>
          <w:p w14:paraId="063DB3CC" w14:textId="724D1D89" w:rsidR="006835AF" w:rsidRPr="000B0935" w:rsidRDefault="006835AF" w:rsidP="007667D0">
            <w:pPr>
              <w:jc w:val="both"/>
              <w:rPr>
                <w:sz w:val="20"/>
                <w:szCs w:val="20"/>
              </w:rPr>
            </w:pPr>
          </w:p>
        </w:tc>
        <w:tc>
          <w:tcPr>
            <w:tcW w:w="3401" w:type="dxa"/>
            <w:shd w:val="clear" w:color="auto" w:fill="auto"/>
          </w:tcPr>
          <w:p w14:paraId="082748FE" w14:textId="6628B4AA" w:rsidR="006835AF" w:rsidRPr="000B0935" w:rsidRDefault="006835AF" w:rsidP="007667D0">
            <w:pPr>
              <w:pStyle w:val="Akapitzlist"/>
              <w:autoSpaceDE w:val="0"/>
              <w:autoSpaceDN w:val="0"/>
              <w:adjustRightInd w:val="0"/>
              <w:spacing w:after="0" w:line="240" w:lineRule="auto"/>
              <w:ind w:left="0"/>
              <w:jc w:val="both"/>
              <w:rPr>
                <w:rFonts w:ascii="Times New Roman" w:hAnsi="Times New Roman"/>
                <w:sz w:val="20"/>
                <w:szCs w:val="20"/>
              </w:rPr>
            </w:pPr>
          </w:p>
        </w:tc>
        <w:tc>
          <w:tcPr>
            <w:tcW w:w="3280" w:type="dxa"/>
            <w:shd w:val="clear" w:color="auto" w:fill="auto"/>
          </w:tcPr>
          <w:p w14:paraId="6627EE5F" w14:textId="77777777" w:rsidR="006835AF" w:rsidRPr="000B0935" w:rsidRDefault="006835AF" w:rsidP="007667D0">
            <w:pPr>
              <w:jc w:val="both"/>
              <w:rPr>
                <w:sz w:val="20"/>
                <w:szCs w:val="20"/>
              </w:rPr>
            </w:pPr>
          </w:p>
        </w:tc>
      </w:tr>
    </w:tbl>
    <w:p w14:paraId="72D717F9" w14:textId="323E995E" w:rsidR="007A5F13" w:rsidRPr="000B0935" w:rsidRDefault="007A5F13" w:rsidP="007667D0">
      <w:pPr>
        <w:jc w:val="both"/>
        <w:rPr>
          <w:sz w:val="20"/>
          <w:szCs w:val="20"/>
        </w:rPr>
      </w:pPr>
    </w:p>
    <w:p w14:paraId="268E80DE" w14:textId="77777777" w:rsidR="007667D0" w:rsidRPr="000B0935" w:rsidRDefault="007667D0" w:rsidP="007667D0">
      <w:pPr>
        <w:jc w:val="both"/>
        <w:rPr>
          <w:sz w:val="20"/>
          <w:szCs w:val="20"/>
        </w:rPr>
      </w:pPr>
    </w:p>
    <w:sectPr w:rsidR="007667D0" w:rsidRPr="000B0935" w:rsidSect="00AD02B2">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15349" w14:textId="77777777" w:rsidR="009B4495" w:rsidRDefault="009B4495" w:rsidP="00A90F78">
      <w:r>
        <w:separator/>
      </w:r>
    </w:p>
  </w:endnote>
  <w:endnote w:type="continuationSeparator" w:id="0">
    <w:p w14:paraId="1FDCD43D" w14:textId="77777777" w:rsidR="009B4495" w:rsidRDefault="009B4495" w:rsidP="00A9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5C652" w14:textId="65F6AED3" w:rsidR="00823B96" w:rsidRPr="00823B96" w:rsidRDefault="00823B96">
    <w:pPr>
      <w:pStyle w:val="Stopka"/>
      <w:rPr>
        <w:sz w:val="20"/>
        <w:szCs w:val="20"/>
      </w:rPr>
    </w:pPr>
    <w:r w:rsidRPr="00823B96">
      <w:rPr>
        <w:sz w:val="20"/>
        <w:szCs w:val="20"/>
      </w:rPr>
      <w:t xml:space="preserve">Wersja z </w:t>
    </w:r>
    <w:r w:rsidR="0086468A">
      <w:rPr>
        <w:sz w:val="20"/>
        <w:szCs w:val="20"/>
      </w:rPr>
      <w:t>24.09</w:t>
    </w:r>
    <w:r w:rsidRPr="00823B96">
      <w:rPr>
        <w:sz w:val="20"/>
        <w:szCs w:val="20"/>
      </w:rPr>
      <w:t>.2021</w:t>
    </w:r>
  </w:p>
  <w:p w14:paraId="342F9286" w14:textId="77777777" w:rsidR="00F54DC3" w:rsidRDefault="00F54D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C22A3" w14:textId="77777777" w:rsidR="009B4495" w:rsidRDefault="009B4495" w:rsidP="00A90F78">
      <w:r>
        <w:separator/>
      </w:r>
    </w:p>
  </w:footnote>
  <w:footnote w:type="continuationSeparator" w:id="0">
    <w:p w14:paraId="0B43D06D" w14:textId="77777777" w:rsidR="009B4495" w:rsidRDefault="009B4495" w:rsidP="00A90F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831EBB"/>
    <w:multiLevelType w:val="hybridMultilevel"/>
    <w:tmpl w:val="812CF234"/>
    <w:lvl w:ilvl="0" w:tplc="0415000F">
      <w:start w:val="1"/>
      <w:numFmt w:val="decimal"/>
      <w:lvlText w:val="%1."/>
      <w:lvlJc w:val="left"/>
      <w:pPr>
        <w:ind w:left="502" w:hanging="360"/>
      </w:pPr>
    </w:lvl>
    <w:lvl w:ilvl="1" w:tplc="BAF85D4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FF44D55"/>
    <w:multiLevelType w:val="hybridMultilevel"/>
    <w:tmpl w:val="BC8E2EF8"/>
    <w:lvl w:ilvl="0" w:tplc="5532AF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69360535"/>
    <w:multiLevelType w:val="hybridMultilevel"/>
    <w:tmpl w:val="B7861036"/>
    <w:lvl w:ilvl="0" w:tplc="AA02AC12">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2B2"/>
    <w:rsid w:val="0000565F"/>
    <w:rsid w:val="000172F2"/>
    <w:rsid w:val="0002700B"/>
    <w:rsid w:val="0003012B"/>
    <w:rsid w:val="0006021F"/>
    <w:rsid w:val="000623F8"/>
    <w:rsid w:val="00062ED6"/>
    <w:rsid w:val="0006350A"/>
    <w:rsid w:val="000733E6"/>
    <w:rsid w:val="000763C0"/>
    <w:rsid w:val="000859FB"/>
    <w:rsid w:val="00091F9C"/>
    <w:rsid w:val="000965F8"/>
    <w:rsid w:val="000A093E"/>
    <w:rsid w:val="000A1DD2"/>
    <w:rsid w:val="000A59FF"/>
    <w:rsid w:val="000A7872"/>
    <w:rsid w:val="000B0935"/>
    <w:rsid w:val="000B1E4A"/>
    <w:rsid w:val="000B4D72"/>
    <w:rsid w:val="000B7A15"/>
    <w:rsid w:val="000C58BF"/>
    <w:rsid w:val="000C5C71"/>
    <w:rsid w:val="000C6C3F"/>
    <w:rsid w:val="000D27CB"/>
    <w:rsid w:val="000F7862"/>
    <w:rsid w:val="00101BCE"/>
    <w:rsid w:val="0011035C"/>
    <w:rsid w:val="00120F82"/>
    <w:rsid w:val="00122689"/>
    <w:rsid w:val="00124992"/>
    <w:rsid w:val="00127DE7"/>
    <w:rsid w:val="00131022"/>
    <w:rsid w:val="00134D92"/>
    <w:rsid w:val="00136077"/>
    <w:rsid w:val="001365FA"/>
    <w:rsid w:val="00146F95"/>
    <w:rsid w:val="00155DA4"/>
    <w:rsid w:val="00156AE0"/>
    <w:rsid w:val="00156EA3"/>
    <w:rsid w:val="001579AD"/>
    <w:rsid w:val="00195DB8"/>
    <w:rsid w:val="001A4514"/>
    <w:rsid w:val="001A6A72"/>
    <w:rsid w:val="001C16C9"/>
    <w:rsid w:val="001C2A4F"/>
    <w:rsid w:val="001C5E57"/>
    <w:rsid w:val="001D7C07"/>
    <w:rsid w:val="001E0085"/>
    <w:rsid w:val="001E023B"/>
    <w:rsid w:val="001E189E"/>
    <w:rsid w:val="001E5022"/>
    <w:rsid w:val="001E7569"/>
    <w:rsid w:val="001E7AD4"/>
    <w:rsid w:val="001F1413"/>
    <w:rsid w:val="001F4CA0"/>
    <w:rsid w:val="002004D2"/>
    <w:rsid w:val="0020151B"/>
    <w:rsid w:val="0022019D"/>
    <w:rsid w:val="00230894"/>
    <w:rsid w:val="0023376F"/>
    <w:rsid w:val="002345A8"/>
    <w:rsid w:val="00235AF8"/>
    <w:rsid w:val="00240F50"/>
    <w:rsid w:val="002479F6"/>
    <w:rsid w:val="00250C27"/>
    <w:rsid w:val="002579BE"/>
    <w:rsid w:val="0026055A"/>
    <w:rsid w:val="00272F6A"/>
    <w:rsid w:val="00273A24"/>
    <w:rsid w:val="002753C2"/>
    <w:rsid w:val="00282F9E"/>
    <w:rsid w:val="0029513E"/>
    <w:rsid w:val="002A13D3"/>
    <w:rsid w:val="002A2CEC"/>
    <w:rsid w:val="002B3432"/>
    <w:rsid w:val="002B7CA8"/>
    <w:rsid w:val="002C21BE"/>
    <w:rsid w:val="002C578F"/>
    <w:rsid w:val="002D572B"/>
    <w:rsid w:val="002D5D2A"/>
    <w:rsid w:val="002E0C62"/>
    <w:rsid w:val="002E2AA1"/>
    <w:rsid w:val="002E7F9F"/>
    <w:rsid w:val="002F08CD"/>
    <w:rsid w:val="002F18C1"/>
    <w:rsid w:val="002F5361"/>
    <w:rsid w:val="003039C0"/>
    <w:rsid w:val="0031504A"/>
    <w:rsid w:val="003176FE"/>
    <w:rsid w:val="00337687"/>
    <w:rsid w:val="0034417B"/>
    <w:rsid w:val="003511FC"/>
    <w:rsid w:val="00363556"/>
    <w:rsid w:val="0036359F"/>
    <w:rsid w:val="00370B5A"/>
    <w:rsid w:val="00372418"/>
    <w:rsid w:val="00385A26"/>
    <w:rsid w:val="00390839"/>
    <w:rsid w:val="00395779"/>
    <w:rsid w:val="003A678C"/>
    <w:rsid w:val="003B1F38"/>
    <w:rsid w:val="003B5012"/>
    <w:rsid w:val="003B581D"/>
    <w:rsid w:val="003B5A7E"/>
    <w:rsid w:val="003C428A"/>
    <w:rsid w:val="003D7C16"/>
    <w:rsid w:val="003F1063"/>
    <w:rsid w:val="003F5ACC"/>
    <w:rsid w:val="003F7E6E"/>
    <w:rsid w:val="004062EF"/>
    <w:rsid w:val="004212D5"/>
    <w:rsid w:val="00421ADC"/>
    <w:rsid w:val="00427B24"/>
    <w:rsid w:val="00443FEC"/>
    <w:rsid w:val="00450AC5"/>
    <w:rsid w:val="00454507"/>
    <w:rsid w:val="00456B48"/>
    <w:rsid w:val="00460885"/>
    <w:rsid w:val="00463000"/>
    <w:rsid w:val="00472479"/>
    <w:rsid w:val="00472C14"/>
    <w:rsid w:val="0047490A"/>
    <w:rsid w:val="00486085"/>
    <w:rsid w:val="00491D46"/>
    <w:rsid w:val="004931B5"/>
    <w:rsid w:val="004A6815"/>
    <w:rsid w:val="004B39B5"/>
    <w:rsid w:val="004B6C94"/>
    <w:rsid w:val="004E2158"/>
    <w:rsid w:val="004F2411"/>
    <w:rsid w:val="004F46D3"/>
    <w:rsid w:val="004F7DFD"/>
    <w:rsid w:val="00514DF3"/>
    <w:rsid w:val="00517030"/>
    <w:rsid w:val="0052102F"/>
    <w:rsid w:val="00532974"/>
    <w:rsid w:val="005403C9"/>
    <w:rsid w:val="00550D98"/>
    <w:rsid w:val="005540CB"/>
    <w:rsid w:val="00581A97"/>
    <w:rsid w:val="005834F9"/>
    <w:rsid w:val="00586973"/>
    <w:rsid w:val="005954EB"/>
    <w:rsid w:val="005A15C7"/>
    <w:rsid w:val="005A45F7"/>
    <w:rsid w:val="005A4DCF"/>
    <w:rsid w:val="005A64CA"/>
    <w:rsid w:val="005B125A"/>
    <w:rsid w:val="005C0689"/>
    <w:rsid w:val="005C4A01"/>
    <w:rsid w:val="005C5A61"/>
    <w:rsid w:val="005D08CB"/>
    <w:rsid w:val="005D102F"/>
    <w:rsid w:val="005D6312"/>
    <w:rsid w:val="005E6C13"/>
    <w:rsid w:val="00602C0D"/>
    <w:rsid w:val="00606FD6"/>
    <w:rsid w:val="006336E3"/>
    <w:rsid w:val="00637EF5"/>
    <w:rsid w:val="00644D11"/>
    <w:rsid w:val="00645D6D"/>
    <w:rsid w:val="00657B21"/>
    <w:rsid w:val="00664503"/>
    <w:rsid w:val="00664BC7"/>
    <w:rsid w:val="00675323"/>
    <w:rsid w:val="006835AF"/>
    <w:rsid w:val="00683FDF"/>
    <w:rsid w:val="00686BF2"/>
    <w:rsid w:val="006A2CB2"/>
    <w:rsid w:val="006B5DFB"/>
    <w:rsid w:val="006B6AC6"/>
    <w:rsid w:val="006C09BD"/>
    <w:rsid w:val="006C55A8"/>
    <w:rsid w:val="006D2D1A"/>
    <w:rsid w:val="006E4D0E"/>
    <w:rsid w:val="00700EC2"/>
    <w:rsid w:val="00701088"/>
    <w:rsid w:val="00701E1B"/>
    <w:rsid w:val="00706EDB"/>
    <w:rsid w:val="00717F36"/>
    <w:rsid w:val="00721D47"/>
    <w:rsid w:val="00732351"/>
    <w:rsid w:val="00733DA9"/>
    <w:rsid w:val="007350CA"/>
    <w:rsid w:val="00740249"/>
    <w:rsid w:val="0074383B"/>
    <w:rsid w:val="0074493C"/>
    <w:rsid w:val="00746C37"/>
    <w:rsid w:val="00746E6E"/>
    <w:rsid w:val="00747C84"/>
    <w:rsid w:val="007667D0"/>
    <w:rsid w:val="00771D10"/>
    <w:rsid w:val="007727B5"/>
    <w:rsid w:val="0077361C"/>
    <w:rsid w:val="00785063"/>
    <w:rsid w:val="0078552B"/>
    <w:rsid w:val="007A5F13"/>
    <w:rsid w:val="007C5DE8"/>
    <w:rsid w:val="007C5F64"/>
    <w:rsid w:val="007D1F51"/>
    <w:rsid w:val="007E78C3"/>
    <w:rsid w:val="007F5985"/>
    <w:rsid w:val="008027DE"/>
    <w:rsid w:val="00817533"/>
    <w:rsid w:val="008237D5"/>
    <w:rsid w:val="00823B96"/>
    <w:rsid w:val="00835DAA"/>
    <w:rsid w:val="00846326"/>
    <w:rsid w:val="008546E8"/>
    <w:rsid w:val="00857988"/>
    <w:rsid w:val="008614EC"/>
    <w:rsid w:val="0086468A"/>
    <w:rsid w:val="0086605E"/>
    <w:rsid w:val="00886BDE"/>
    <w:rsid w:val="0089065F"/>
    <w:rsid w:val="008910EA"/>
    <w:rsid w:val="0089474B"/>
    <w:rsid w:val="008A0BA3"/>
    <w:rsid w:val="008B2415"/>
    <w:rsid w:val="008C0CF4"/>
    <w:rsid w:val="008C1FD6"/>
    <w:rsid w:val="008C4DBA"/>
    <w:rsid w:val="008D5F70"/>
    <w:rsid w:val="008E17C2"/>
    <w:rsid w:val="008E5ACC"/>
    <w:rsid w:val="008F32C9"/>
    <w:rsid w:val="008F7F05"/>
    <w:rsid w:val="00915B4C"/>
    <w:rsid w:val="00935177"/>
    <w:rsid w:val="00941A21"/>
    <w:rsid w:val="00956FE5"/>
    <w:rsid w:val="00967856"/>
    <w:rsid w:val="009756CC"/>
    <w:rsid w:val="00983CD0"/>
    <w:rsid w:val="009840DF"/>
    <w:rsid w:val="00987C2B"/>
    <w:rsid w:val="009A3CE9"/>
    <w:rsid w:val="009B4495"/>
    <w:rsid w:val="009C37FE"/>
    <w:rsid w:val="009D328A"/>
    <w:rsid w:val="009D3526"/>
    <w:rsid w:val="009D5328"/>
    <w:rsid w:val="009E0978"/>
    <w:rsid w:val="009E6615"/>
    <w:rsid w:val="009F7D64"/>
    <w:rsid w:val="00A018DF"/>
    <w:rsid w:val="00A05F32"/>
    <w:rsid w:val="00A22BFF"/>
    <w:rsid w:val="00A239EC"/>
    <w:rsid w:val="00A33948"/>
    <w:rsid w:val="00A35C0E"/>
    <w:rsid w:val="00A35FD0"/>
    <w:rsid w:val="00A463F8"/>
    <w:rsid w:val="00A50DAF"/>
    <w:rsid w:val="00A67816"/>
    <w:rsid w:val="00A8422A"/>
    <w:rsid w:val="00A90F78"/>
    <w:rsid w:val="00A9246F"/>
    <w:rsid w:val="00A946FD"/>
    <w:rsid w:val="00A95FB3"/>
    <w:rsid w:val="00AA2BEF"/>
    <w:rsid w:val="00AA565F"/>
    <w:rsid w:val="00AA5842"/>
    <w:rsid w:val="00AB0D70"/>
    <w:rsid w:val="00AD02B2"/>
    <w:rsid w:val="00AD4F0A"/>
    <w:rsid w:val="00AE3759"/>
    <w:rsid w:val="00AF21A5"/>
    <w:rsid w:val="00AF3BA5"/>
    <w:rsid w:val="00AF6C9F"/>
    <w:rsid w:val="00B02F4F"/>
    <w:rsid w:val="00B128A9"/>
    <w:rsid w:val="00B24C54"/>
    <w:rsid w:val="00B34EAB"/>
    <w:rsid w:val="00B4742C"/>
    <w:rsid w:val="00B54D04"/>
    <w:rsid w:val="00B5784D"/>
    <w:rsid w:val="00B73D42"/>
    <w:rsid w:val="00B74266"/>
    <w:rsid w:val="00B9176A"/>
    <w:rsid w:val="00B91FAD"/>
    <w:rsid w:val="00B95EFD"/>
    <w:rsid w:val="00B97FF6"/>
    <w:rsid w:val="00BA5285"/>
    <w:rsid w:val="00BA6430"/>
    <w:rsid w:val="00BB0C99"/>
    <w:rsid w:val="00BD28A0"/>
    <w:rsid w:val="00BD7798"/>
    <w:rsid w:val="00BE34DA"/>
    <w:rsid w:val="00BE7531"/>
    <w:rsid w:val="00BF4A69"/>
    <w:rsid w:val="00C04DDD"/>
    <w:rsid w:val="00C07B14"/>
    <w:rsid w:val="00C111DA"/>
    <w:rsid w:val="00C1141D"/>
    <w:rsid w:val="00C25259"/>
    <w:rsid w:val="00C2541F"/>
    <w:rsid w:val="00C312FC"/>
    <w:rsid w:val="00C42337"/>
    <w:rsid w:val="00C460CF"/>
    <w:rsid w:val="00C47893"/>
    <w:rsid w:val="00C5063E"/>
    <w:rsid w:val="00C5661D"/>
    <w:rsid w:val="00C609A2"/>
    <w:rsid w:val="00C712CE"/>
    <w:rsid w:val="00C74066"/>
    <w:rsid w:val="00C8282C"/>
    <w:rsid w:val="00C840A2"/>
    <w:rsid w:val="00C853C7"/>
    <w:rsid w:val="00C85DC5"/>
    <w:rsid w:val="00CC3B5D"/>
    <w:rsid w:val="00CD2618"/>
    <w:rsid w:val="00CD6066"/>
    <w:rsid w:val="00CD73B1"/>
    <w:rsid w:val="00CE0A54"/>
    <w:rsid w:val="00CE7439"/>
    <w:rsid w:val="00D0436D"/>
    <w:rsid w:val="00D104F8"/>
    <w:rsid w:val="00D10927"/>
    <w:rsid w:val="00D17F80"/>
    <w:rsid w:val="00D22000"/>
    <w:rsid w:val="00D26BCE"/>
    <w:rsid w:val="00D34183"/>
    <w:rsid w:val="00D41F39"/>
    <w:rsid w:val="00D44145"/>
    <w:rsid w:val="00D5394F"/>
    <w:rsid w:val="00D56ACC"/>
    <w:rsid w:val="00D74958"/>
    <w:rsid w:val="00D84060"/>
    <w:rsid w:val="00D856C3"/>
    <w:rsid w:val="00D90814"/>
    <w:rsid w:val="00D9177F"/>
    <w:rsid w:val="00DA299B"/>
    <w:rsid w:val="00DA70C1"/>
    <w:rsid w:val="00DB61F3"/>
    <w:rsid w:val="00DC246A"/>
    <w:rsid w:val="00DC494D"/>
    <w:rsid w:val="00DE07EC"/>
    <w:rsid w:val="00DE5487"/>
    <w:rsid w:val="00DF361C"/>
    <w:rsid w:val="00DF3D83"/>
    <w:rsid w:val="00DF3F08"/>
    <w:rsid w:val="00DF5A65"/>
    <w:rsid w:val="00E01B1F"/>
    <w:rsid w:val="00E03F70"/>
    <w:rsid w:val="00E1133C"/>
    <w:rsid w:val="00E121E7"/>
    <w:rsid w:val="00E13FDB"/>
    <w:rsid w:val="00E21C01"/>
    <w:rsid w:val="00E257B8"/>
    <w:rsid w:val="00E30B4D"/>
    <w:rsid w:val="00E460A7"/>
    <w:rsid w:val="00E47B28"/>
    <w:rsid w:val="00E57473"/>
    <w:rsid w:val="00E64C7F"/>
    <w:rsid w:val="00E65582"/>
    <w:rsid w:val="00E75582"/>
    <w:rsid w:val="00E80856"/>
    <w:rsid w:val="00E95642"/>
    <w:rsid w:val="00E95F3A"/>
    <w:rsid w:val="00E962DF"/>
    <w:rsid w:val="00EA52D6"/>
    <w:rsid w:val="00EB496A"/>
    <w:rsid w:val="00EC0B5D"/>
    <w:rsid w:val="00EC0DA9"/>
    <w:rsid w:val="00EC158A"/>
    <w:rsid w:val="00ED1382"/>
    <w:rsid w:val="00EF4741"/>
    <w:rsid w:val="00F02C78"/>
    <w:rsid w:val="00F202C3"/>
    <w:rsid w:val="00F33544"/>
    <w:rsid w:val="00F423DD"/>
    <w:rsid w:val="00F42EF9"/>
    <w:rsid w:val="00F50767"/>
    <w:rsid w:val="00F54DC3"/>
    <w:rsid w:val="00F56DD7"/>
    <w:rsid w:val="00F7009C"/>
    <w:rsid w:val="00F71326"/>
    <w:rsid w:val="00F8668E"/>
    <w:rsid w:val="00F87A17"/>
    <w:rsid w:val="00F9281B"/>
    <w:rsid w:val="00F94F6E"/>
    <w:rsid w:val="00FA419C"/>
    <w:rsid w:val="00FA47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0932"/>
  <w15:chartTrackingRefBased/>
  <w15:docId w15:val="{B946340B-371F-4AC2-94DB-3FF2DE4B5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02B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D02B2"/>
    <w:pPr>
      <w:spacing w:after="200" w:line="276" w:lineRule="auto"/>
      <w:ind w:left="720"/>
      <w:contextualSpacing/>
    </w:pPr>
    <w:rPr>
      <w:rFonts w:ascii="Calibri" w:eastAsia="Calibri" w:hAnsi="Calibri"/>
      <w:sz w:val="22"/>
      <w:szCs w:val="22"/>
      <w:lang w:eastAsia="en-US"/>
    </w:rPr>
  </w:style>
  <w:style w:type="character" w:styleId="Uwydatnienie">
    <w:name w:val="Emphasis"/>
    <w:uiPriority w:val="20"/>
    <w:qFormat/>
    <w:rsid w:val="00AD02B2"/>
    <w:rPr>
      <w:i/>
      <w:iCs/>
    </w:rPr>
  </w:style>
  <w:style w:type="paragraph" w:customStyle="1" w:styleId="Default">
    <w:name w:val="Default"/>
    <w:rsid w:val="00AD02B2"/>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paragraph" w:customStyle="1" w:styleId="CM4">
    <w:name w:val="CM4"/>
    <w:basedOn w:val="Default"/>
    <w:next w:val="Default"/>
    <w:rsid w:val="00AD02B2"/>
    <w:rPr>
      <w:rFonts w:cs="Times New Roman"/>
      <w:color w:val="auto"/>
    </w:rPr>
  </w:style>
  <w:style w:type="character" w:customStyle="1" w:styleId="tabulatory">
    <w:name w:val="tabulatory"/>
    <w:rsid w:val="00AD02B2"/>
  </w:style>
  <w:style w:type="paragraph" w:customStyle="1" w:styleId="ZARTzmartartykuempunktem">
    <w:name w:val="Z/ART(§) – zm. art. (§) artykułem (punktem)"/>
    <w:basedOn w:val="Normalny"/>
    <w:uiPriority w:val="30"/>
    <w:qFormat/>
    <w:rsid w:val="00AA5842"/>
    <w:pPr>
      <w:suppressAutoHyphens/>
      <w:autoSpaceDE w:val="0"/>
      <w:autoSpaceDN w:val="0"/>
      <w:adjustRightInd w:val="0"/>
      <w:spacing w:line="360" w:lineRule="auto"/>
      <w:ind w:left="510" w:firstLine="510"/>
      <w:jc w:val="both"/>
    </w:pPr>
    <w:rPr>
      <w:rFonts w:ascii="Times" w:eastAsiaTheme="minorEastAsia" w:hAnsi="Times" w:cs="Arial"/>
      <w:szCs w:val="20"/>
    </w:rPr>
  </w:style>
  <w:style w:type="character" w:styleId="Odwoaniedokomentarza">
    <w:name w:val="annotation reference"/>
    <w:basedOn w:val="Domylnaczcionkaakapitu"/>
    <w:uiPriority w:val="99"/>
    <w:semiHidden/>
    <w:unhideWhenUsed/>
    <w:rsid w:val="00D10927"/>
    <w:rPr>
      <w:sz w:val="16"/>
      <w:szCs w:val="16"/>
    </w:rPr>
  </w:style>
  <w:style w:type="paragraph" w:styleId="Tekstkomentarza">
    <w:name w:val="annotation text"/>
    <w:basedOn w:val="Normalny"/>
    <w:link w:val="TekstkomentarzaZnak"/>
    <w:uiPriority w:val="99"/>
    <w:semiHidden/>
    <w:unhideWhenUsed/>
    <w:rsid w:val="00D10927"/>
    <w:rPr>
      <w:sz w:val="20"/>
      <w:szCs w:val="20"/>
    </w:rPr>
  </w:style>
  <w:style w:type="character" w:customStyle="1" w:styleId="TekstkomentarzaZnak">
    <w:name w:val="Tekst komentarza Znak"/>
    <w:basedOn w:val="Domylnaczcionkaakapitu"/>
    <w:link w:val="Tekstkomentarza"/>
    <w:uiPriority w:val="99"/>
    <w:semiHidden/>
    <w:rsid w:val="00D1092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10927"/>
    <w:rPr>
      <w:b/>
      <w:bCs/>
    </w:rPr>
  </w:style>
  <w:style w:type="character" w:customStyle="1" w:styleId="TematkomentarzaZnak">
    <w:name w:val="Temat komentarza Znak"/>
    <w:basedOn w:val="TekstkomentarzaZnak"/>
    <w:link w:val="Tematkomentarza"/>
    <w:uiPriority w:val="99"/>
    <w:semiHidden/>
    <w:rsid w:val="00D1092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1092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0927"/>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A90F78"/>
    <w:pPr>
      <w:tabs>
        <w:tab w:val="center" w:pos="4536"/>
        <w:tab w:val="right" w:pos="9072"/>
      </w:tabs>
    </w:pPr>
  </w:style>
  <w:style w:type="character" w:customStyle="1" w:styleId="NagwekZnak">
    <w:name w:val="Nagłówek Znak"/>
    <w:basedOn w:val="Domylnaczcionkaakapitu"/>
    <w:link w:val="Nagwek"/>
    <w:uiPriority w:val="99"/>
    <w:rsid w:val="00A90F7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90F78"/>
    <w:pPr>
      <w:tabs>
        <w:tab w:val="center" w:pos="4536"/>
        <w:tab w:val="right" w:pos="9072"/>
      </w:tabs>
    </w:pPr>
  </w:style>
  <w:style w:type="character" w:customStyle="1" w:styleId="StopkaZnak">
    <w:name w:val="Stopka Znak"/>
    <w:basedOn w:val="Domylnaczcionkaakapitu"/>
    <w:link w:val="Stopka"/>
    <w:uiPriority w:val="99"/>
    <w:rsid w:val="00A90F78"/>
    <w:rPr>
      <w:rFonts w:ascii="Times New Roman" w:eastAsia="Times New Roman" w:hAnsi="Times New Roman" w:cs="Times New Roman"/>
      <w:sz w:val="24"/>
      <w:szCs w:val="24"/>
      <w:lang w:eastAsia="pl-PL"/>
    </w:rPr>
  </w:style>
  <w:style w:type="paragraph" w:customStyle="1" w:styleId="ARTartustawynprozporzdzenia">
    <w:name w:val="ART(§) – art. ustawy (§ np. rozporządzenia)"/>
    <w:link w:val="ARTartustawynprozporzdzeniaZnak"/>
    <w:uiPriority w:val="99"/>
    <w:qFormat/>
    <w:rsid w:val="004E2158"/>
    <w:pPr>
      <w:suppressAutoHyphens/>
      <w:autoSpaceDE w:val="0"/>
      <w:autoSpaceDN w:val="0"/>
      <w:adjustRightInd w:val="0"/>
      <w:spacing w:before="120" w:after="0" w:line="360" w:lineRule="auto"/>
      <w:ind w:firstLine="510"/>
      <w:jc w:val="both"/>
    </w:pPr>
    <w:rPr>
      <w:rFonts w:ascii="Times" w:eastAsia="Times New Roman" w:hAnsi="Times" w:cs="Times New Roman"/>
      <w:sz w:val="24"/>
      <w:szCs w:val="20"/>
      <w:lang w:eastAsia="pl-PL"/>
    </w:rPr>
  </w:style>
  <w:style w:type="paragraph" w:customStyle="1" w:styleId="PKTpunkt">
    <w:name w:val="PKT – punkt"/>
    <w:link w:val="PKTpunktZnak"/>
    <w:uiPriority w:val="13"/>
    <w:qFormat/>
    <w:rsid w:val="004E2158"/>
    <w:pPr>
      <w:spacing w:after="0" w:line="360" w:lineRule="auto"/>
      <w:ind w:left="510" w:hanging="510"/>
      <w:jc w:val="both"/>
    </w:pPr>
    <w:rPr>
      <w:rFonts w:ascii="Times" w:eastAsia="Times New Roman" w:hAnsi="Times" w:cs="Times New Roman"/>
      <w:bCs/>
      <w:sz w:val="24"/>
      <w:szCs w:val="20"/>
      <w:lang w:eastAsia="pl-PL"/>
    </w:rPr>
  </w:style>
  <w:style w:type="paragraph" w:customStyle="1" w:styleId="ZPKTzmpktartykuempunktem">
    <w:name w:val="Z/PKT – zm. pkt artykułem (punktem)"/>
    <w:basedOn w:val="PKTpunkt"/>
    <w:link w:val="ZPKTzmpktartykuempunktemZnak"/>
    <w:uiPriority w:val="31"/>
    <w:qFormat/>
    <w:rsid w:val="004E2158"/>
    <w:pPr>
      <w:ind w:left="1020"/>
    </w:pPr>
  </w:style>
  <w:style w:type="character" w:customStyle="1" w:styleId="ZPKTzmpktartykuempunktemZnak">
    <w:name w:val="Z/PKT – zm. pkt artykułem (punktem) Znak"/>
    <w:link w:val="ZPKTzmpktartykuempunktem"/>
    <w:uiPriority w:val="31"/>
    <w:locked/>
    <w:rsid w:val="004E2158"/>
    <w:rPr>
      <w:rFonts w:ascii="Times" w:eastAsia="Times New Roman" w:hAnsi="Times" w:cs="Times New Roman"/>
      <w:bCs/>
      <w:sz w:val="24"/>
      <w:szCs w:val="20"/>
      <w:lang w:eastAsia="pl-PL"/>
    </w:rPr>
  </w:style>
  <w:style w:type="character" w:customStyle="1" w:styleId="ARTartustawynprozporzdzeniaZnak">
    <w:name w:val="ART(§) – art. ustawy (§ np. rozporządzenia) Znak"/>
    <w:link w:val="ARTartustawynprozporzdzenia"/>
    <w:uiPriority w:val="99"/>
    <w:locked/>
    <w:rsid w:val="004E2158"/>
    <w:rPr>
      <w:rFonts w:ascii="Times" w:eastAsia="Times New Roman" w:hAnsi="Times" w:cs="Times New Roman"/>
      <w:sz w:val="24"/>
      <w:szCs w:val="20"/>
      <w:lang w:eastAsia="pl-PL"/>
    </w:rPr>
  </w:style>
  <w:style w:type="character" w:customStyle="1" w:styleId="PKTpunktZnak">
    <w:name w:val="PKT – punkt Znak"/>
    <w:link w:val="PKTpunkt"/>
    <w:uiPriority w:val="13"/>
    <w:locked/>
    <w:rsid w:val="004E2158"/>
    <w:rPr>
      <w:rFonts w:ascii="Times" w:eastAsia="Times New Roman" w:hAnsi="Times" w:cs="Times New Roman"/>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053478">
      <w:bodyDiv w:val="1"/>
      <w:marLeft w:val="0"/>
      <w:marRight w:val="0"/>
      <w:marTop w:val="0"/>
      <w:marBottom w:val="0"/>
      <w:divBdr>
        <w:top w:val="none" w:sz="0" w:space="0" w:color="auto"/>
        <w:left w:val="none" w:sz="0" w:space="0" w:color="auto"/>
        <w:bottom w:val="none" w:sz="0" w:space="0" w:color="auto"/>
        <w:right w:val="none" w:sz="0" w:space="0" w:color="auto"/>
      </w:divBdr>
      <w:divsChild>
        <w:div w:id="294869919">
          <w:marLeft w:val="0"/>
          <w:marRight w:val="0"/>
          <w:marTop w:val="0"/>
          <w:marBottom w:val="240"/>
          <w:divBdr>
            <w:top w:val="none" w:sz="0" w:space="0" w:color="auto"/>
            <w:left w:val="none" w:sz="0" w:space="0" w:color="auto"/>
            <w:bottom w:val="none" w:sz="0" w:space="0" w:color="auto"/>
            <w:right w:val="none" w:sz="0" w:space="0" w:color="auto"/>
          </w:divBdr>
        </w:div>
        <w:div w:id="10507808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83E63-5E67-4D5F-A30B-902A37149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4242</Words>
  <Characters>25453</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Kinga</dc:creator>
  <cp:keywords/>
  <dc:description/>
  <cp:lastModifiedBy>Kołaczyk Laura</cp:lastModifiedBy>
  <cp:revision>3</cp:revision>
  <dcterms:created xsi:type="dcterms:W3CDTF">2021-08-24T09:56:00Z</dcterms:created>
  <dcterms:modified xsi:type="dcterms:W3CDTF">2021-09-24T07:22:00Z</dcterms:modified>
</cp:coreProperties>
</file>